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BDE" w:rsidRDefault="005F47F4">
      <w:pPr>
        <w:widowControl w:val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C92BDE" w:rsidRDefault="005F47F4">
      <w:pPr>
        <w:widowControl w:val="0"/>
        <w:jc w:val="center"/>
      </w:pPr>
      <w:r>
        <w:rPr>
          <w:b/>
          <w:sz w:val="28"/>
          <w:szCs w:val="28"/>
        </w:rPr>
        <w:t>высшего образования</w:t>
      </w:r>
    </w:p>
    <w:p w:rsidR="00C92BDE" w:rsidRDefault="005F47F4">
      <w:pPr>
        <w:widowControl w:val="0"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C92BDE" w:rsidRDefault="005F47F4">
      <w:pPr>
        <w:widowControl w:val="0"/>
        <w:jc w:val="center"/>
      </w:pPr>
      <w:r>
        <w:rPr>
          <w:b/>
          <w:sz w:val="28"/>
          <w:szCs w:val="28"/>
        </w:rPr>
        <w:t>РОССИЙСКОЙ ФЕДЕРАЦИИ»</w:t>
      </w:r>
    </w:p>
    <w:p w:rsidR="00C92BDE" w:rsidRDefault="005F47F4">
      <w:pPr>
        <w:widowControl w:val="0"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C92BDE" w:rsidRDefault="00C92BDE">
      <w:pPr>
        <w:widowControl w:val="0"/>
        <w:jc w:val="center"/>
        <w:rPr>
          <w:b/>
          <w:sz w:val="28"/>
          <w:szCs w:val="28"/>
        </w:rPr>
      </w:pPr>
    </w:p>
    <w:p w:rsidR="00C92BDE" w:rsidRDefault="005F47F4">
      <w:pPr>
        <w:spacing w:after="1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  <w:r>
        <w:rPr>
          <w:b/>
          <w:sz w:val="28"/>
          <w:szCs w:val="28"/>
        </w:rPr>
        <w:br/>
        <w:t>Финансового факультета</w:t>
      </w:r>
    </w:p>
    <w:p w:rsidR="00C92BDE" w:rsidRDefault="00C92BDE">
      <w:pPr>
        <w:spacing w:after="114"/>
        <w:jc w:val="center"/>
        <w:rPr>
          <w:b/>
          <w:sz w:val="28"/>
          <w:szCs w:val="28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9"/>
        <w:gridCol w:w="5161"/>
      </w:tblGrid>
      <w:tr w:rsidR="00C92BDE">
        <w:tc>
          <w:tcPr>
            <w:tcW w:w="4199" w:type="dxa"/>
          </w:tcPr>
          <w:p w:rsidR="00C92BDE" w:rsidRDefault="00C92BDE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</w:p>
        </w:tc>
        <w:tc>
          <w:tcPr>
            <w:tcW w:w="5160" w:type="dxa"/>
          </w:tcPr>
          <w:p w:rsidR="00C92BDE" w:rsidRDefault="005F47F4">
            <w:pPr>
              <w:widowControl w:val="0"/>
              <w:suppressAutoHyphens w:val="0"/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УТВЕРЖДАЮ</w:t>
            </w:r>
          </w:p>
          <w:p w:rsidR="00C92BDE" w:rsidRDefault="00C92BDE">
            <w:pPr>
              <w:widowControl w:val="0"/>
              <w:suppressAutoHyphens w:val="0"/>
              <w:ind w:left="318"/>
              <w:rPr>
                <w:sz w:val="28"/>
                <w:szCs w:val="28"/>
              </w:rPr>
            </w:pPr>
          </w:p>
          <w:p w:rsidR="00C92BDE" w:rsidRDefault="005F47F4">
            <w:pPr>
              <w:widowControl w:val="0"/>
              <w:suppressAutoHyphens w:val="0"/>
              <w:ind w:left="31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и </w:t>
            </w:r>
            <w:r>
              <w:rPr>
                <w:color w:val="000000"/>
                <w:sz w:val="28"/>
                <w:szCs w:val="28"/>
              </w:rPr>
              <w:br/>
              <w:t>методической работе</w:t>
            </w:r>
          </w:p>
          <w:p w:rsidR="00C92BDE" w:rsidRDefault="00C92BDE">
            <w:pPr>
              <w:widowControl w:val="0"/>
              <w:suppressAutoHyphens w:val="0"/>
              <w:ind w:left="318"/>
              <w:rPr>
                <w:sz w:val="28"/>
                <w:szCs w:val="28"/>
              </w:rPr>
            </w:pPr>
          </w:p>
          <w:p w:rsidR="00C92BDE" w:rsidRDefault="005F47F4">
            <w:pPr>
              <w:widowControl w:val="0"/>
              <w:suppressAutoHyphens w:val="0"/>
              <w:ind w:left="31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Е.А. Каменева</w:t>
            </w:r>
          </w:p>
          <w:p w:rsidR="00C92BDE" w:rsidRDefault="00C92BDE">
            <w:pPr>
              <w:widowControl w:val="0"/>
              <w:suppressAutoHyphens w:val="0"/>
              <w:ind w:left="318"/>
              <w:rPr>
                <w:sz w:val="28"/>
                <w:szCs w:val="28"/>
              </w:rPr>
            </w:pPr>
          </w:p>
          <w:p w:rsidR="00C92BDE" w:rsidRDefault="00881F5F" w:rsidP="00881F5F">
            <w:pPr>
              <w:widowControl w:val="0"/>
              <w:suppressAutoHyphens w:val="0"/>
              <w:ind w:left="318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21.06.</w:t>
            </w:r>
            <w:r w:rsidR="005F47F4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23</w:t>
            </w:r>
            <w:r w:rsidR="005F47F4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C92BDE" w:rsidRDefault="00C92BDE">
      <w:pPr>
        <w:spacing w:after="114"/>
        <w:jc w:val="center"/>
      </w:pPr>
    </w:p>
    <w:p w:rsidR="00C92BDE" w:rsidRDefault="00C92BDE">
      <w:pPr>
        <w:widowControl w:val="0"/>
        <w:jc w:val="right"/>
        <w:rPr>
          <w:szCs w:val="28"/>
        </w:rPr>
      </w:pPr>
    </w:p>
    <w:p w:rsidR="00C92BDE" w:rsidRDefault="00C92BDE">
      <w:pPr>
        <w:shd w:val="clear" w:color="auto" w:fill="FFFFFF"/>
        <w:rPr>
          <w:b/>
          <w:bCs/>
          <w:sz w:val="28"/>
          <w:szCs w:val="28"/>
        </w:rPr>
      </w:pPr>
    </w:p>
    <w:p w:rsidR="00C92BDE" w:rsidRDefault="005F47F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Федченко Е.А.</w:t>
      </w:r>
    </w:p>
    <w:p w:rsidR="00C92BDE" w:rsidRDefault="00C92BD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92BDE" w:rsidRDefault="005F47F4">
      <w:pPr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УЧЕТНО-АНАЛИТИЧЕСКИЕ ТЕХНОЛОГИИ В СЕКТОРЕ ГОСУДАРСТВЕННОГО УПРАВЛЕНИЯ</w:t>
      </w:r>
    </w:p>
    <w:p w:rsidR="00C92BDE" w:rsidRDefault="00C92BDE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C92BDE" w:rsidRDefault="005F47F4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C92BDE" w:rsidRDefault="005F47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92BDE" w:rsidRDefault="005F47F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38.04.09 Государственный аудит, направленность программы магистратуры</w:t>
      </w:r>
    </w:p>
    <w:p w:rsidR="00C92BDE" w:rsidRDefault="005F47F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«Прикладные технологии внешнего государственного аудита» </w:t>
      </w:r>
    </w:p>
    <w:p w:rsidR="00C92BDE" w:rsidRDefault="00C92BDE">
      <w:pPr>
        <w:jc w:val="center"/>
        <w:rPr>
          <w:sz w:val="28"/>
          <w:szCs w:val="28"/>
        </w:rPr>
      </w:pPr>
    </w:p>
    <w:p w:rsidR="00C92BDE" w:rsidRDefault="005F47F4">
      <w:pPr>
        <w:jc w:val="center"/>
        <w:rPr>
          <w:rFonts w:eastAsia="Calibri"/>
          <w:i/>
          <w:iCs/>
          <w:sz w:val="28"/>
          <w:szCs w:val="28"/>
          <w:lang w:eastAsia="zh-CN"/>
        </w:rPr>
      </w:pPr>
      <w:r>
        <w:rPr>
          <w:rFonts w:eastAsia="Calibri"/>
          <w:i/>
          <w:iCs/>
          <w:sz w:val="28"/>
          <w:szCs w:val="28"/>
          <w:lang w:eastAsia="zh-CN"/>
        </w:rPr>
        <w:t>Рекомендовано Ученым советом Финансового факультета</w:t>
      </w:r>
    </w:p>
    <w:p w:rsidR="00C92BDE" w:rsidRDefault="005F47F4">
      <w:pPr>
        <w:jc w:val="center"/>
        <w:rPr>
          <w:rFonts w:eastAsia="Calibri"/>
          <w:i/>
          <w:iCs/>
          <w:sz w:val="28"/>
          <w:szCs w:val="28"/>
          <w:lang w:eastAsia="zh-CN"/>
        </w:rPr>
      </w:pPr>
      <w:r>
        <w:rPr>
          <w:rFonts w:eastAsia="Calibri"/>
          <w:i/>
          <w:iCs/>
          <w:sz w:val="28"/>
          <w:szCs w:val="28"/>
          <w:lang w:eastAsia="zh-CN"/>
        </w:rPr>
        <w:t xml:space="preserve">(протокол № 35 от 20 </w:t>
      </w:r>
      <w:r w:rsidRPr="00881F5F">
        <w:rPr>
          <w:rFonts w:eastAsia="Calibri"/>
          <w:i/>
          <w:iCs/>
          <w:sz w:val="28"/>
          <w:szCs w:val="28"/>
          <w:lang w:eastAsia="zh-CN"/>
        </w:rPr>
        <w:t>июня</w:t>
      </w:r>
      <w:r>
        <w:rPr>
          <w:rFonts w:eastAsia="Calibri"/>
          <w:i/>
          <w:iCs/>
          <w:sz w:val="28"/>
          <w:szCs w:val="28"/>
          <w:lang w:eastAsia="zh-CN"/>
        </w:rPr>
        <w:t xml:space="preserve"> 2023 г.)</w:t>
      </w:r>
    </w:p>
    <w:p w:rsidR="00C92BDE" w:rsidRDefault="005F47F4">
      <w:pPr>
        <w:jc w:val="center"/>
        <w:rPr>
          <w:rFonts w:eastAsia="Calibri"/>
          <w:i/>
          <w:iCs/>
          <w:sz w:val="28"/>
          <w:szCs w:val="28"/>
          <w:lang w:eastAsia="zh-CN"/>
        </w:rPr>
      </w:pPr>
      <w:r>
        <w:rPr>
          <w:rFonts w:eastAsia="Calibri"/>
          <w:i/>
          <w:iCs/>
          <w:sz w:val="28"/>
          <w:szCs w:val="28"/>
          <w:lang w:eastAsia="zh-CN"/>
        </w:rPr>
        <w:t>Одобрено заседанием кафедры «Финансовый контроль и казначейское дело»</w:t>
      </w:r>
    </w:p>
    <w:p w:rsidR="00C92BDE" w:rsidRDefault="005F47F4">
      <w:pPr>
        <w:jc w:val="center"/>
        <w:rPr>
          <w:rFonts w:eastAsia="Calibri"/>
          <w:i/>
          <w:iCs/>
          <w:sz w:val="28"/>
          <w:szCs w:val="28"/>
          <w:lang w:eastAsia="zh-CN"/>
        </w:rPr>
      </w:pPr>
      <w:r>
        <w:rPr>
          <w:rFonts w:eastAsia="Calibri"/>
          <w:i/>
          <w:iCs/>
          <w:sz w:val="28"/>
          <w:szCs w:val="28"/>
          <w:lang w:eastAsia="zh-CN"/>
        </w:rPr>
        <w:t xml:space="preserve">Финансового факультета </w:t>
      </w:r>
    </w:p>
    <w:p w:rsidR="00C92BDE" w:rsidRDefault="005F47F4">
      <w:pPr>
        <w:jc w:val="center"/>
        <w:rPr>
          <w:rFonts w:eastAsia="Calibri"/>
          <w:i/>
          <w:iCs/>
          <w:sz w:val="28"/>
          <w:szCs w:val="28"/>
          <w:lang w:eastAsia="zh-CN"/>
        </w:rPr>
      </w:pPr>
      <w:r>
        <w:rPr>
          <w:rFonts w:eastAsia="Calibri"/>
          <w:i/>
          <w:iCs/>
          <w:sz w:val="28"/>
          <w:szCs w:val="28"/>
          <w:lang w:eastAsia="zh-CN"/>
        </w:rPr>
        <w:t>(протокол № 14 от 29 мая 2023 г.)</w:t>
      </w:r>
    </w:p>
    <w:p w:rsidR="00C92BDE" w:rsidRDefault="00C92BDE">
      <w:pPr>
        <w:jc w:val="center"/>
        <w:rPr>
          <w:rFonts w:eastAsia="Calibri"/>
          <w:i/>
          <w:iCs/>
          <w:sz w:val="28"/>
          <w:szCs w:val="28"/>
          <w:lang w:eastAsia="zh-CN"/>
        </w:rPr>
      </w:pPr>
    </w:p>
    <w:p w:rsidR="00C92BDE" w:rsidRDefault="00C92BDE">
      <w:pPr>
        <w:shd w:val="clear" w:color="auto" w:fill="FFFFFF"/>
        <w:spacing w:line="322" w:lineRule="exact"/>
        <w:jc w:val="center"/>
        <w:rPr>
          <w:rFonts w:eastAsia="Calibri"/>
          <w:i/>
          <w:iCs/>
          <w:sz w:val="28"/>
          <w:szCs w:val="28"/>
          <w:lang w:eastAsia="zh-CN"/>
        </w:rPr>
      </w:pPr>
    </w:p>
    <w:p w:rsidR="00C92BDE" w:rsidRDefault="00C92BDE">
      <w:pPr>
        <w:shd w:val="clear" w:color="auto" w:fill="FFFFFF"/>
        <w:spacing w:line="322" w:lineRule="exact"/>
        <w:jc w:val="center"/>
        <w:rPr>
          <w:rFonts w:eastAsia="Calibri"/>
          <w:i/>
          <w:iCs/>
          <w:sz w:val="28"/>
          <w:szCs w:val="28"/>
          <w:lang w:eastAsia="zh-CN"/>
        </w:rPr>
      </w:pPr>
    </w:p>
    <w:p w:rsidR="00C92BDE" w:rsidRDefault="00C92BDE">
      <w:pPr>
        <w:jc w:val="center"/>
        <w:rPr>
          <w:i/>
          <w:sz w:val="28"/>
          <w:szCs w:val="28"/>
        </w:rPr>
      </w:pPr>
    </w:p>
    <w:p w:rsidR="00C92BDE" w:rsidRDefault="00C92BDE">
      <w:pPr>
        <w:jc w:val="center"/>
        <w:rPr>
          <w:i/>
          <w:sz w:val="28"/>
          <w:szCs w:val="28"/>
        </w:rPr>
      </w:pPr>
    </w:p>
    <w:p w:rsidR="00C92BDE" w:rsidRDefault="00C92BDE">
      <w:pPr>
        <w:jc w:val="center"/>
        <w:rPr>
          <w:i/>
          <w:sz w:val="28"/>
          <w:szCs w:val="28"/>
        </w:rPr>
      </w:pPr>
    </w:p>
    <w:p w:rsidR="00C92BDE" w:rsidRDefault="005F47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— 2023</w:t>
      </w:r>
    </w:p>
    <w:p w:rsidR="00C92BDE" w:rsidRDefault="00C92BDE">
      <w:pPr>
        <w:jc w:val="center"/>
        <w:rPr>
          <w:b/>
          <w:sz w:val="28"/>
          <w:szCs w:val="28"/>
        </w:rPr>
      </w:pPr>
    </w:p>
    <w:p w:rsidR="00C92BDE" w:rsidRDefault="00C92BDE">
      <w:pPr>
        <w:jc w:val="center"/>
        <w:rPr>
          <w:b/>
          <w:sz w:val="28"/>
          <w:szCs w:val="28"/>
        </w:rPr>
      </w:pPr>
    </w:p>
    <w:p w:rsidR="00C92BDE" w:rsidRDefault="005F47F4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</w:rPr>
        <w:lastRenderedPageBreak/>
        <w:t xml:space="preserve">УДК </w:t>
      </w:r>
      <w:r>
        <w:rPr>
          <w:b/>
          <w:bCs/>
          <w:sz w:val="28"/>
          <w:szCs w:val="28"/>
        </w:rPr>
        <w:t>351/354:657(073)</w:t>
      </w:r>
    </w:p>
    <w:p w:rsidR="00C92BDE" w:rsidRDefault="005F47F4">
      <w:pPr>
        <w:ind w:firstLine="709"/>
        <w:rPr>
          <w:b/>
          <w:bCs/>
          <w:sz w:val="28"/>
        </w:rPr>
      </w:pPr>
      <w:r>
        <w:rPr>
          <w:b/>
          <w:bCs/>
          <w:sz w:val="28"/>
        </w:rPr>
        <w:t>ББК 65.050-24я73</w:t>
      </w:r>
    </w:p>
    <w:p w:rsidR="00C92BDE" w:rsidRDefault="00C92BDE">
      <w:pPr>
        <w:ind w:firstLine="709"/>
      </w:pPr>
    </w:p>
    <w:p w:rsidR="00C92BDE" w:rsidRDefault="005F47F4">
      <w:pPr>
        <w:widowControl w:val="0"/>
        <w:ind w:firstLine="709"/>
        <w:jc w:val="both"/>
        <w:rPr>
          <w:spacing w:val="-3"/>
        </w:rPr>
      </w:pPr>
      <w:r>
        <w:rPr>
          <w:spacing w:val="-3"/>
        </w:rPr>
        <w:t>Рецензенты:</w:t>
      </w:r>
    </w:p>
    <w:p w:rsidR="00C92BDE" w:rsidRDefault="005F47F4">
      <w:pPr>
        <w:pStyle w:val="15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И.М. </w:t>
      </w:r>
      <w:proofErr w:type="spellStart"/>
      <w:r>
        <w:rPr>
          <w:rFonts w:ascii="Times New Roman" w:hAnsi="Times New Roman"/>
          <w:b/>
          <w:spacing w:val="-3"/>
          <w:sz w:val="24"/>
          <w:szCs w:val="24"/>
        </w:rPr>
        <w:t>Ванькович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>, кандидат экономических наук, доцент кафедры «Финансовый контроль и казначейское дело»</w:t>
      </w:r>
    </w:p>
    <w:p w:rsidR="00C92BDE" w:rsidRDefault="005F47F4">
      <w:pPr>
        <w:pStyle w:val="15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3"/>
          <w:sz w:val="24"/>
          <w:szCs w:val="24"/>
        </w:rPr>
        <w:t>И.В. Липатова,</w:t>
      </w:r>
      <w:r>
        <w:rPr>
          <w:rFonts w:ascii="Times New Roman" w:hAnsi="Times New Roman"/>
          <w:spacing w:val="-3"/>
          <w:sz w:val="24"/>
          <w:szCs w:val="24"/>
        </w:rPr>
        <w:t xml:space="preserve"> кандидат экономических наук, доцент, доцент кафедры «Финансовый контроль и казначейское дело»</w:t>
      </w:r>
    </w:p>
    <w:p w:rsidR="00C92BDE" w:rsidRDefault="00C92BDE">
      <w:pPr>
        <w:pStyle w:val="15"/>
        <w:ind w:firstLine="709"/>
        <w:jc w:val="both"/>
        <w:rPr>
          <w:rFonts w:ascii="Times New Roman" w:hAnsi="Times New Roman"/>
          <w:szCs w:val="28"/>
        </w:rPr>
      </w:pPr>
    </w:p>
    <w:p w:rsidR="00C92BDE" w:rsidRDefault="005F47F4">
      <w:pPr>
        <w:shd w:val="clear" w:color="auto" w:fill="FFFFFF"/>
        <w:spacing w:line="276" w:lineRule="auto"/>
        <w:ind w:firstLine="709"/>
        <w:jc w:val="both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Федченко Е. А.</w:t>
      </w:r>
    </w:p>
    <w:p w:rsidR="00C92BDE" w:rsidRPr="00881F5F" w:rsidRDefault="005F47F4">
      <w:pPr>
        <w:ind w:firstLine="709"/>
        <w:jc w:val="both"/>
        <w:rPr>
          <w:sz w:val="28"/>
          <w:szCs w:val="28"/>
        </w:rPr>
      </w:pPr>
      <w:r w:rsidRPr="00881F5F">
        <w:rPr>
          <w:rFonts w:eastAsiaTheme="minorEastAsia" w:cstheme="minorBidi"/>
          <w:b/>
          <w:bCs/>
          <w:color w:val="000000"/>
          <w:sz w:val="28"/>
          <w:szCs w:val="28"/>
        </w:rPr>
        <w:t>Учетно-аналитические технологии в секторе государственного управления</w:t>
      </w:r>
      <w:r w:rsidRPr="00881F5F">
        <w:rPr>
          <w:sz w:val="28"/>
          <w:szCs w:val="28"/>
        </w:rPr>
        <w:t>.</w:t>
      </w:r>
    </w:p>
    <w:p w:rsidR="00C92BDE" w:rsidRPr="00881F5F" w:rsidRDefault="005F47F4">
      <w:pPr>
        <w:ind w:firstLine="709"/>
        <w:jc w:val="both"/>
        <w:rPr>
          <w:rFonts w:eastAsiaTheme="minorEastAsia" w:cstheme="minorBidi"/>
          <w:bCs/>
          <w:color w:val="000000"/>
          <w:sz w:val="28"/>
          <w:szCs w:val="28"/>
        </w:rPr>
      </w:pPr>
      <w:r w:rsidRPr="00881F5F">
        <w:rPr>
          <w:rFonts w:eastAsiaTheme="minorEastAsia" w:cstheme="minorBidi"/>
          <w:bCs/>
          <w:color w:val="000000"/>
          <w:sz w:val="28"/>
          <w:szCs w:val="28"/>
        </w:rPr>
        <w:t>Рабочая программа дисциплины «Учетно-аналитические технологии в секторе государственного управления» предназначена для преподавания студентам, обучающимся по направлению подготовки 38.04.09 Государственный аудит, направленность программы «Прикладные технологии внешнего государственного аудита».</w:t>
      </w:r>
      <w:r w:rsidRPr="00881F5F">
        <w:rPr>
          <w:bCs/>
          <w:sz w:val="28"/>
          <w:szCs w:val="28"/>
        </w:rPr>
        <w:t xml:space="preserve"> – М.: Финансовый университет, кафедра «Финансовый контроль и казначейское дело Финансового факультета, 2023 г. – 25 с.</w:t>
      </w:r>
    </w:p>
    <w:p w:rsidR="00C92BDE" w:rsidRDefault="005F47F4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C92BDE" w:rsidRDefault="00C92BDE">
      <w:pPr>
        <w:ind w:firstLine="709"/>
        <w:jc w:val="both"/>
      </w:pPr>
    </w:p>
    <w:p w:rsidR="00C92BDE" w:rsidRDefault="00C92BDE">
      <w:pPr>
        <w:ind w:firstLine="709"/>
        <w:jc w:val="both"/>
      </w:pPr>
    </w:p>
    <w:p w:rsidR="00C92BDE" w:rsidRDefault="005F47F4">
      <w:pPr>
        <w:spacing w:after="1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C92BDE" w:rsidRDefault="005F47F4">
      <w:pPr>
        <w:jc w:val="center"/>
        <w:rPr>
          <w:bCs/>
          <w:color w:val="000000"/>
          <w:spacing w:val="-3"/>
          <w:sz w:val="28"/>
          <w:szCs w:val="28"/>
        </w:rPr>
      </w:pPr>
      <w:r>
        <w:rPr>
          <w:bCs/>
          <w:sz w:val="28"/>
          <w:szCs w:val="28"/>
        </w:rPr>
        <w:t>УЧЕТНО-АНАЛИТИЧЕСКИЕ ТЕХНОЛОГИИ В СЕКТОРЕ ГОСУДАРСТВЕННОГО УПРАВЛЕНИЯ</w:t>
      </w:r>
    </w:p>
    <w:p w:rsidR="00C92BDE" w:rsidRDefault="00C92BDE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92BDE" w:rsidRDefault="005F47F4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C92BDE" w:rsidRDefault="005F47F4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C92BDE" w:rsidRDefault="005F47F4">
      <w:pPr>
        <w:jc w:val="center"/>
      </w:pPr>
      <w:r>
        <w:t>Формат 60х90/16. Гарнитура</w:t>
      </w:r>
      <w:proofErr w:type="spellStart"/>
      <w:r>
        <w:rPr>
          <w:i/>
          <w:lang w:val="en-US"/>
        </w:rPr>
        <w:t>TimesNewRoman</w:t>
      </w:r>
      <w:proofErr w:type="spellEnd"/>
    </w:p>
    <w:p w:rsidR="00C92BDE" w:rsidRDefault="005F47F4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>. 1,6. Изд. № __</w:t>
      </w:r>
      <w:r w:rsidR="00881F5F">
        <w:t>2023</w:t>
      </w:r>
      <w:r>
        <w:t xml:space="preserve">. </w:t>
      </w:r>
      <w:proofErr w:type="gramStart"/>
      <w:r>
        <w:t>Тираж  экз.</w:t>
      </w:r>
      <w:proofErr w:type="gramEnd"/>
    </w:p>
    <w:p w:rsidR="00C92BDE" w:rsidRDefault="00C92BDE">
      <w:pPr>
        <w:jc w:val="center"/>
        <w:rPr>
          <w:bCs/>
        </w:rPr>
      </w:pPr>
    </w:p>
    <w:p w:rsidR="00C92BDE" w:rsidRDefault="005F47F4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C92BDE" w:rsidRDefault="00C92BDE">
      <w:pPr>
        <w:jc w:val="right"/>
        <w:rPr>
          <w:b/>
          <w:color w:val="000000"/>
          <w:sz w:val="28"/>
          <w:szCs w:val="28"/>
        </w:rPr>
      </w:pPr>
    </w:p>
    <w:p w:rsidR="00C92BDE" w:rsidRDefault="00C92BDE">
      <w:pPr>
        <w:jc w:val="right"/>
        <w:rPr>
          <w:b/>
          <w:color w:val="000000"/>
          <w:sz w:val="28"/>
          <w:szCs w:val="28"/>
        </w:rPr>
      </w:pPr>
    </w:p>
    <w:p w:rsidR="00881F5F" w:rsidRDefault="00881F5F">
      <w:pPr>
        <w:jc w:val="right"/>
        <w:rPr>
          <w:b/>
          <w:color w:val="000000"/>
          <w:sz w:val="28"/>
          <w:szCs w:val="28"/>
        </w:rPr>
      </w:pPr>
    </w:p>
    <w:p w:rsidR="00C92BDE" w:rsidRDefault="005F47F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© Федченко Е. А. 2023</w:t>
      </w:r>
    </w:p>
    <w:p w:rsidR="00C92BDE" w:rsidRDefault="005F47F4">
      <w:pPr>
        <w:pStyle w:val="1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© Финансовый университет, 2023</w:t>
      </w:r>
    </w:p>
    <w:p w:rsidR="00C92BDE" w:rsidRDefault="00C92BDE">
      <w:pPr>
        <w:ind w:firstLine="397"/>
        <w:jc w:val="center"/>
        <w:rPr>
          <w:b/>
          <w:sz w:val="28"/>
          <w:szCs w:val="28"/>
        </w:rPr>
      </w:pPr>
    </w:p>
    <w:p w:rsidR="00C92BDE" w:rsidRDefault="005F47F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Style w:val="afff1"/>
        <w:tblW w:w="9781" w:type="dxa"/>
        <w:tblLayout w:type="fixed"/>
        <w:tblLook w:val="04A0" w:firstRow="1" w:lastRow="0" w:firstColumn="1" w:lastColumn="0" w:noHBand="0" w:noVBand="1"/>
      </w:tblPr>
      <w:tblGrid>
        <w:gridCol w:w="848"/>
        <w:gridCol w:w="8364"/>
        <w:gridCol w:w="569"/>
      </w:tblGrid>
      <w:tr w:rsidR="00C92BDE">
        <w:trPr>
          <w:trHeight w:val="312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BDE">
        <w:trPr>
          <w:trHeight w:val="94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92BDE" w:rsidRDefault="005F47F4">
            <w:pPr>
              <w:pStyle w:val="afff0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f0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C92BDE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</w:tr>
      <w:tr w:rsidR="00C92BDE">
        <w:trPr>
          <w:trHeight w:val="94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BDE">
        <w:trPr>
          <w:trHeight w:val="937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BDE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92BDE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C92BDE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C92BDE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C92BDE">
        <w:trPr>
          <w:trHeight w:val="62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C92BDE">
        <w:trPr>
          <w:trHeight w:val="1260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C92BDE">
        <w:trPr>
          <w:trHeight w:val="63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2BDE" w:rsidRDefault="005F47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BDE" w:rsidRDefault="005F47F4">
            <w:pPr>
              <w:pStyle w:val="aff6"/>
              <w:widowControl w:val="0"/>
              <w:spacing w:before="280" w:beforeAutospacing="0" w:after="28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C92BDE">
      <w:pPr>
        <w:spacing w:line="276" w:lineRule="auto"/>
        <w:ind w:firstLine="397"/>
        <w:jc w:val="center"/>
        <w:rPr>
          <w:sz w:val="28"/>
          <w:szCs w:val="28"/>
        </w:rPr>
      </w:pPr>
    </w:p>
    <w:p w:rsidR="00C92BDE" w:rsidRDefault="005F47F4">
      <w:pPr>
        <w:pStyle w:val="1"/>
        <w:spacing w:after="240"/>
        <w:ind w:firstLine="709"/>
        <w:jc w:val="both"/>
        <w:rPr>
          <w:sz w:val="28"/>
          <w:szCs w:val="28"/>
        </w:rPr>
      </w:pPr>
      <w:bookmarkStart w:id="0" w:name="_Toc34227889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Cs w:val="32"/>
        </w:rPr>
        <w:t xml:space="preserve"> – </w:t>
      </w:r>
      <w:r>
        <w:rPr>
          <w:sz w:val="28"/>
          <w:szCs w:val="28"/>
        </w:rPr>
        <w:t>«Учетно-аналитические технологии в секторе государственного управления».</w:t>
      </w:r>
      <w:bookmarkEnd w:id="0"/>
    </w:p>
    <w:p w:rsidR="00C92BDE" w:rsidRDefault="005F47F4">
      <w:pPr>
        <w:pStyle w:val="1"/>
        <w:ind w:firstLine="709"/>
        <w:jc w:val="both"/>
        <w:rPr>
          <w:b/>
          <w:sz w:val="28"/>
          <w:szCs w:val="28"/>
        </w:rPr>
      </w:pPr>
      <w:bookmarkStart w:id="1" w:name="_Toc324441753"/>
      <w:bookmarkStart w:id="2" w:name="_Toc34227890"/>
      <w:bookmarkEnd w:id="1"/>
      <w:r>
        <w:rPr>
          <w:b/>
          <w:sz w:val="28"/>
          <w:szCs w:val="28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</w:p>
    <w:p w:rsidR="00C92BDE" w:rsidRDefault="005F47F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34"/>
        <w:tblpPr w:leftFromText="180" w:rightFromText="180" w:vertAnchor="text" w:tblpX="-113" w:tblpY="1"/>
        <w:tblW w:w="10125" w:type="dxa"/>
        <w:tblLayout w:type="fixed"/>
        <w:tblLook w:val="04A0" w:firstRow="1" w:lastRow="0" w:firstColumn="1" w:lastColumn="0" w:noHBand="0" w:noVBand="1"/>
      </w:tblPr>
      <w:tblGrid>
        <w:gridCol w:w="1074"/>
        <w:gridCol w:w="2013"/>
        <w:gridCol w:w="2578"/>
        <w:gridCol w:w="4460"/>
      </w:tblGrid>
      <w:tr w:rsidR="00C92BDE">
        <w:trPr>
          <w:tblHeader/>
        </w:trPr>
        <w:tc>
          <w:tcPr>
            <w:tcW w:w="1073" w:type="dxa"/>
          </w:tcPr>
          <w:p w:rsidR="00C92BDE" w:rsidRDefault="005F47F4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3" w:name="_Toc34227826"/>
            <w:bookmarkStart w:id="4" w:name="_Toc34227891"/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  <w:bookmarkEnd w:id="3"/>
            <w:bookmarkEnd w:id="4"/>
          </w:p>
        </w:tc>
        <w:tc>
          <w:tcPr>
            <w:tcW w:w="2013" w:type="dxa"/>
          </w:tcPr>
          <w:p w:rsidR="00C92BDE" w:rsidRDefault="005F47F4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5" w:name="_Toc34227827"/>
            <w:bookmarkStart w:id="6" w:name="_Toc34227892"/>
            <w:r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  <w:bookmarkEnd w:id="5"/>
            <w:bookmarkEnd w:id="6"/>
          </w:p>
        </w:tc>
        <w:tc>
          <w:tcPr>
            <w:tcW w:w="2578" w:type="dxa"/>
          </w:tcPr>
          <w:p w:rsidR="00C92BDE" w:rsidRDefault="005F47F4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7" w:name="_Toc34227828"/>
            <w:bookmarkStart w:id="8" w:name="_Toc34227893"/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  <w:bookmarkEnd w:id="7"/>
            <w:bookmarkEnd w:id="8"/>
          </w:p>
        </w:tc>
        <w:tc>
          <w:tcPr>
            <w:tcW w:w="4460" w:type="dxa"/>
          </w:tcPr>
          <w:p w:rsidR="00C92BDE" w:rsidRDefault="005F47F4">
            <w:pPr>
              <w:pStyle w:val="19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9" w:name="_Toc34227829"/>
            <w:bookmarkStart w:id="10" w:name="_Toc34227894"/>
            <w:r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9"/>
            <w:bookmarkEnd w:id="10"/>
          </w:p>
        </w:tc>
      </w:tr>
      <w:tr w:rsidR="00C92BDE">
        <w:trPr>
          <w:trHeight w:val="510"/>
        </w:trPr>
        <w:tc>
          <w:tcPr>
            <w:tcW w:w="1073" w:type="dxa"/>
            <w:vMerge w:val="restart"/>
          </w:tcPr>
          <w:p w:rsidR="00C92BDE" w:rsidRDefault="005F47F4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013" w:type="dxa"/>
            <w:vMerge w:val="restart"/>
          </w:tcPr>
          <w:p w:rsidR="00C92BDE" w:rsidRDefault="005F47F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  <w:p w:rsidR="00C92BDE" w:rsidRDefault="00C92BDE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C92BDE" w:rsidRDefault="005F47F4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1. Демонстрирует понимание экономической сущности хозяйственных операций и их влияние на эффективность деятельности экономического субъекта. </w:t>
            </w:r>
          </w:p>
        </w:tc>
        <w:tc>
          <w:tcPr>
            <w:tcW w:w="4460" w:type="dxa"/>
          </w:tcPr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оценивать экономическую эффективность проводимых хозяйственных операций с помощью расчета ключевых показателей</w:t>
            </w:r>
          </w:p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виды хозяйственных операций, проводимых экономическими субъектами, основные экономические показатели, используемые для оценки эффективности хозяйственных операций</w:t>
            </w:r>
          </w:p>
        </w:tc>
      </w:tr>
      <w:tr w:rsidR="00C92BDE">
        <w:trPr>
          <w:trHeight w:val="510"/>
        </w:trPr>
        <w:tc>
          <w:tcPr>
            <w:tcW w:w="1073" w:type="dxa"/>
            <w:vMerge/>
          </w:tcPr>
          <w:p w:rsidR="00C92BDE" w:rsidRDefault="00C92BDE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C92BDE" w:rsidRDefault="00C92BDE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C92BDE" w:rsidRDefault="005F47F4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2. Использует необходимые источники учетной и </w:t>
            </w:r>
            <w:proofErr w:type="spellStart"/>
            <w:r>
              <w:rPr>
                <w:color w:val="000000"/>
              </w:rPr>
              <w:t>неучетной</w:t>
            </w:r>
            <w:proofErr w:type="spellEnd"/>
            <w:r>
              <w:rPr>
                <w:color w:val="000000"/>
              </w:rPr>
              <w:t xml:space="preserve"> информации в сфере профессиональной деятельности. </w:t>
            </w:r>
          </w:p>
        </w:tc>
        <w:tc>
          <w:tcPr>
            <w:tcW w:w="4460" w:type="dxa"/>
          </w:tcPr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применять необходимые источники учетной и </w:t>
            </w:r>
            <w:proofErr w:type="spellStart"/>
            <w:r>
              <w:t>неучетной</w:t>
            </w:r>
            <w:proofErr w:type="spellEnd"/>
            <w:r>
              <w:t xml:space="preserve"> информации для выполнения профессиональных задач</w:t>
            </w:r>
          </w:p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основные источники учетной и </w:t>
            </w:r>
            <w:proofErr w:type="spellStart"/>
            <w:r>
              <w:t>неучетной</w:t>
            </w:r>
            <w:proofErr w:type="spellEnd"/>
            <w:r>
              <w:t xml:space="preserve"> информации, способы применения их в профессиональной деятельности</w:t>
            </w:r>
          </w:p>
        </w:tc>
      </w:tr>
      <w:tr w:rsidR="00C92BDE">
        <w:trPr>
          <w:trHeight w:val="1012"/>
        </w:trPr>
        <w:tc>
          <w:tcPr>
            <w:tcW w:w="1073" w:type="dxa"/>
            <w:vMerge/>
          </w:tcPr>
          <w:p w:rsidR="00C92BDE" w:rsidRDefault="00C92BDE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C92BDE" w:rsidRDefault="00C92BDE">
            <w:pPr>
              <w:pStyle w:val="19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C92BDE" w:rsidRDefault="005F47F4">
            <w:pPr>
              <w:spacing w:line="252" w:lineRule="auto"/>
              <w:jc w:val="both"/>
            </w:pPr>
            <w:r>
              <w:t>3. 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4460" w:type="dxa"/>
          </w:tcPr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разрабатывать и применять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  <w:p w:rsidR="00C92BDE" w:rsidRDefault="005F47F4">
            <w:pPr>
              <w:spacing w:line="252" w:lineRule="auto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принципы и методы оценки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</w:tc>
      </w:tr>
    </w:tbl>
    <w:p w:rsidR="00C92BDE" w:rsidRDefault="005F47F4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1" w:name="_Toc326701972"/>
      <w:bookmarkStart w:id="12" w:name="_Toc324441754"/>
      <w:bookmarkStart w:id="13" w:name="_Toc34227915"/>
      <w:r>
        <w:rPr>
          <w:b/>
          <w:bCs/>
          <w:sz w:val="28"/>
          <w:szCs w:val="28"/>
        </w:rPr>
        <w:lastRenderedPageBreak/>
        <w:t>3.</w:t>
      </w:r>
      <w:bookmarkEnd w:id="11"/>
      <w:bookmarkEnd w:id="12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  <w:bookmarkEnd w:id="13"/>
    </w:p>
    <w:p w:rsidR="00C92BDE" w:rsidRDefault="005F47F4">
      <w:pPr>
        <w:spacing w:after="24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«Учетно-аналитические технологии в секторе государственного управления» относится к дисциплинам общенаучного модуля для студентов, обучающихся по направлению подготовки 38.04.09 Государственный аудит, направленность программы магистратуры «Прикладные технологии внешнего государственного аудита». </w:t>
      </w:r>
    </w:p>
    <w:p w:rsidR="00C92BDE" w:rsidRDefault="005F47F4">
      <w:pPr>
        <w:spacing w:after="24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Дисциплине «Учетно-аналитические технологии в секторе государственного управления» предшествует изучение таких дисциплин, как «Теория и методология государственного аудита», «Риск-менеджмент в государственном секторе».</w:t>
      </w:r>
    </w:p>
    <w:p w:rsidR="00C92BDE" w:rsidRDefault="005F47F4">
      <w:pPr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Дисциплина «Учетно-аналитические технологии в секторе государственного управления» необходима для последующего изучения дисциплин как «Внутренний финансовый аудит и контроль», а также для подготовки к итоговой государственной аттестации</w:t>
      </w:r>
      <w:r>
        <w:rPr>
          <w:sz w:val="28"/>
        </w:rPr>
        <w:t xml:space="preserve"> и написания магистерской диссертации.</w:t>
      </w:r>
    </w:p>
    <w:p w:rsidR="00C92BDE" w:rsidRDefault="00C92BDE">
      <w:pPr>
        <w:spacing w:line="360" w:lineRule="auto"/>
        <w:ind w:firstLine="709"/>
        <w:contextualSpacing/>
        <w:jc w:val="both"/>
        <w:rPr>
          <w:sz w:val="28"/>
        </w:rPr>
      </w:pPr>
    </w:p>
    <w:p w:rsidR="00C92BDE" w:rsidRDefault="005F47F4">
      <w:pPr>
        <w:pStyle w:val="1"/>
        <w:ind w:firstLine="709"/>
        <w:jc w:val="both"/>
      </w:pPr>
      <w:bookmarkStart w:id="14" w:name="_Toc324441756"/>
      <w:bookmarkStart w:id="15" w:name="_Toc326701974"/>
      <w:bookmarkStart w:id="16" w:name="_Toc34227916"/>
      <w:r>
        <w:rPr>
          <w:b/>
          <w:bCs/>
          <w:sz w:val="28"/>
          <w:szCs w:val="28"/>
        </w:rPr>
        <w:t>4.</w:t>
      </w:r>
      <w:bookmarkEnd w:id="14"/>
      <w:bookmarkEnd w:id="15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</w:t>
      </w:r>
      <w:bookmarkEnd w:id="16"/>
    </w:p>
    <w:tbl>
      <w:tblPr>
        <w:tblW w:w="9631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113"/>
        <w:gridCol w:w="2410"/>
        <w:gridCol w:w="1559"/>
        <w:gridCol w:w="1549"/>
      </w:tblGrid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модуль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модуль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 xml:space="preserve">3 </w:t>
            </w:r>
            <w:proofErr w:type="spellStart"/>
            <w:r>
              <w:rPr>
                <w:b/>
                <w:lang w:eastAsia="en-US"/>
              </w:rPr>
              <w:t>з.ед</w:t>
            </w:r>
            <w:proofErr w:type="spellEnd"/>
            <w:r>
              <w:rPr>
                <w:b/>
                <w:lang w:eastAsia="en-US"/>
              </w:rPr>
              <w:t xml:space="preserve"> / 108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Семинары, практические</w:t>
            </w:r>
            <w:r>
              <w:rPr>
                <w:bCs/>
              </w:rPr>
              <w:t xml:space="preserve"> занятия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</w:tr>
      <w:tr w:rsidR="00C92BDE">
        <w:trPr>
          <w:trHeight w:val="2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Экзамен/зачет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Зачет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 xml:space="preserve">Экзамен </w:t>
            </w:r>
          </w:p>
        </w:tc>
      </w:tr>
    </w:tbl>
    <w:p w:rsidR="00C92BDE" w:rsidRDefault="005F47F4">
      <w:pPr>
        <w:pStyle w:val="1"/>
        <w:numPr>
          <w:ilvl w:val="0"/>
          <w:numId w:val="0"/>
        </w:numPr>
        <w:ind w:firstLine="709"/>
        <w:jc w:val="both"/>
        <w:rPr>
          <w:b/>
          <w:bCs/>
          <w:sz w:val="28"/>
          <w:szCs w:val="28"/>
        </w:rPr>
      </w:pPr>
      <w:bookmarkStart w:id="17" w:name="_Toc34227917"/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7"/>
    </w:p>
    <w:p w:rsidR="00C92BDE" w:rsidRDefault="005F47F4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8" w:name="_Toc34227918"/>
      <w:r>
        <w:rPr>
          <w:b/>
          <w:bCs/>
          <w:sz w:val="28"/>
          <w:szCs w:val="28"/>
        </w:rPr>
        <w:t>5.1. Содержание дисциплины</w:t>
      </w:r>
      <w:bookmarkEnd w:id="18"/>
    </w:p>
    <w:p w:rsidR="00C92BDE" w:rsidRDefault="005F47F4">
      <w:pPr>
        <w:pStyle w:val="aff6"/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1. </w:t>
      </w:r>
      <w:bookmarkStart w:id="19" w:name="_Toc326701978"/>
      <w:r>
        <w:rPr>
          <w:b/>
          <w:bCs/>
          <w:sz w:val="28"/>
          <w:szCs w:val="28"/>
          <w:lang w:eastAsia="en-US"/>
        </w:rPr>
        <w:t>Концептуальные основы и модели бухгалтерского (бюджетного) учета</w:t>
      </w:r>
    </w:p>
    <w:p w:rsidR="00C92BDE" w:rsidRDefault="005F47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системы. Централизованная модель ведения бухгалтерского учета, формирования отчетности, начисления и выплаты заработной платы в организациях бюджетной сферы. Единая государственная учетная политика на основе федеральных стандартов бухгалтерского учета государственных финансов.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СГС «Концептуальные основы бухгалтерского учета и отчетности организаций государственного сектора»</w:t>
      </w:r>
      <w:r>
        <w:rPr>
          <w:rFonts w:eastAsia="Calibri"/>
          <w:i/>
          <w:iCs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Основные правила (способы) ведения бухгалтерского учета. Общие правила признания и прекращения признания объектов бухгалтерского учета. Оценка и методы оценки объектов бухгалтерского учета. Основные требования к инвентаризации активов и обязательств. </w:t>
      </w:r>
      <w:r>
        <w:rPr>
          <w:i/>
          <w:iCs/>
          <w:color w:val="000000"/>
          <w:sz w:val="28"/>
          <w:szCs w:val="28"/>
        </w:rPr>
        <w:t>СГС «Учетная политика, оценочные значения и ошибки».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Формирование, утверждение и изменение учетной политики, раскрытие учетной политики. Отражение изменений оценочных значений в бухгалтерской (финансовой) отчетности и раскрытие информации в бухгалтерской (финансовой) отчетности. 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2. </w:t>
      </w:r>
      <w:r>
        <w:rPr>
          <w:rFonts w:eastAsia="Calibri"/>
          <w:b/>
          <w:bCs/>
          <w:sz w:val="28"/>
          <w:szCs w:val="28"/>
          <w:lang w:eastAsia="en-US"/>
        </w:rPr>
        <w:t xml:space="preserve">Учетные процедуры нефинансовых и финансовых активов в организациях сектора государственного управления 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СГС «Основные средства».</w:t>
      </w:r>
      <w:r>
        <w:rPr>
          <w:rFonts w:eastAsia="Calibri"/>
          <w:sz w:val="28"/>
          <w:szCs w:val="28"/>
        </w:rPr>
        <w:t xml:space="preserve"> Признание объектов основных средств. Оценка объектов основных средств при их признании. Последующая оценка объектов основных средств. Амортизация объекта основных средств. Обесценение объекта основных средств. Прекращение признания объекта </w:t>
      </w:r>
      <w:r>
        <w:rPr>
          <w:rFonts w:eastAsia="Calibri"/>
          <w:sz w:val="28"/>
          <w:szCs w:val="28"/>
        </w:rPr>
        <w:lastRenderedPageBreak/>
        <w:t xml:space="preserve">основных средств. </w:t>
      </w:r>
      <w:r>
        <w:rPr>
          <w:rFonts w:eastAsia="Calibri"/>
          <w:i/>
          <w:iCs/>
          <w:sz w:val="28"/>
          <w:szCs w:val="28"/>
        </w:rPr>
        <w:t>СГС «Нематериальные активы».</w:t>
      </w:r>
      <w:r>
        <w:rPr>
          <w:rFonts w:eastAsia="Calibri"/>
          <w:sz w:val="28"/>
          <w:szCs w:val="28"/>
        </w:rPr>
        <w:t xml:space="preserve"> Признание объектов нематериальных активов. Оценка объектов нематериальных активов при их признании. Последующая оценка объектов нематериальных активов. Амортизация объектов нематериальных активов. Обесценение объектов нематериальных активов. Прекращение признания объекта нематериальных активов. </w:t>
      </w:r>
      <w:r>
        <w:rPr>
          <w:rFonts w:eastAsia="Calibri"/>
          <w:i/>
          <w:iCs/>
          <w:sz w:val="28"/>
          <w:szCs w:val="28"/>
        </w:rPr>
        <w:t>СГС «Непроизведенные активы».</w:t>
      </w:r>
      <w:r>
        <w:rPr>
          <w:rFonts w:eastAsia="Calibri"/>
          <w:sz w:val="28"/>
          <w:szCs w:val="28"/>
        </w:rPr>
        <w:t xml:space="preserve"> Признание объектов непроизведенных активов. Оценка объектов непроизведенных активов при их признании. Последующая оценка объектов непроизведенных активов. Обесценение объектов непроизведенных активов. Прекращение признания объектов непроизведенных активов. </w:t>
      </w:r>
      <w:r>
        <w:rPr>
          <w:rFonts w:eastAsia="Calibri"/>
          <w:i/>
          <w:iCs/>
          <w:sz w:val="28"/>
          <w:szCs w:val="28"/>
        </w:rPr>
        <w:t>СГС «Запасы».</w:t>
      </w:r>
      <w:r>
        <w:rPr>
          <w:rFonts w:eastAsia="Calibri"/>
          <w:sz w:val="28"/>
          <w:szCs w:val="28"/>
        </w:rPr>
        <w:t xml:space="preserve"> Признание запасов. Оценка запасов при их признании. Последующая оценка запасов. Прекращение признания запасов. Методы оценки запасов при выбытии. СГС </w:t>
      </w:r>
      <w:r>
        <w:rPr>
          <w:rFonts w:eastAsia="Calibri"/>
          <w:i/>
          <w:iCs/>
          <w:sz w:val="28"/>
          <w:szCs w:val="28"/>
        </w:rPr>
        <w:t>«Государственная (муниципальная) казна».</w:t>
      </w:r>
      <w:r>
        <w:rPr>
          <w:rFonts w:eastAsia="Calibri"/>
          <w:sz w:val="28"/>
          <w:szCs w:val="28"/>
        </w:rPr>
        <w:t xml:space="preserve"> Признание и оценка нефинансовых активов имущества казны. Признание и оценка нефинансовых активов имущества казны. </w:t>
      </w:r>
      <w:proofErr w:type="spellStart"/>
      <w:r>
        <w:rPr>
          <w:rFonts w:eastAsia="Calibri"/>
          <w:sz w:val="28"/>
          <w:szCs w:val="28"/>
        </w:rPr>
        <w:t>Реклассификация</w:t>
      </w:r>
      <w:proofErr w:type="spellEnd"/>
      <w:r>
        <w:rPr>
          <w:rFonts w:eastAsia="Calibri"/>
          <w:sz w:val="28"/>
          <w:szCs w:val="28"/>
        </w:rPr>
        <w:t xml:space="preserve"> нефинансовых активов имущества казны. Переоценка стоимости нефинансовых активов имущества казны. Амортизация нефинансовых активов имущества казны. Прекращение признания нефинансовых активов имущества казны. Методы оценки нефинансовых активов имущества казны.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i/>
          <w:iCs/>
          <w:sz w:val="28"/>
          <w:szCs w:val="28"/>
        </w:rPr>
        <w:t>СГС «Финансовые инструменты».</w:t>
      </w:r>
      <w:r>
        <w:rPr>
          <w:bCs/>
          <w:sz w:val="28"/>
          <w:szCs w:val="28"/>
        </w:rPr>
        <w:t xml:space="preserve"> Признание финансовых активов. </w:t>
      </w:r>
      <w:proofErr w:type="spellStart"/>
      <w:r>
        <w:rPr>
          <w:bCs/>
          <w:sz w:val="28"/>
          <w:szCs w:val="28"/>
        </w:rPr>
        <w:t>Реклассификация</w:t>
      </w:r>
      <w:proofErr w:type="spellEnd"/>
      <w:r>
        <w:rPr>
          <w:bCs/>
          <w:sz w:val="28"/>
          <w:szCs w:val="28"/>
        </w:rPr>
        <w:t xml:space="preserve"> финансовых активов. Обесценение финансовых активов. </w:t>
      </w:r>
      <w:r>
        <w:rPr>
          <w:rFonts w:eastAsia="Calibri"/>
          <w:bCs/>
          <w:sz w:val="28"/>
          <w:szCs w:val="28"/>
        </w:rPr>
        <w:t xml:space="preserve">Прекращение признания финансовых активов. </w:t>
      </w:r>
      <w:r>
        <w:rPr>
          <w:rFonts w:eastAsia="Calibri"/>
          <w:sz w:val="28"/>
          <w:szCs w:val="28"/>
        </w:rPr>
        <w:t xml:space="preserve"> </w:t>
      </w:r>
      <w:bookmarkStart w:id="20" w:name="_Hlk21361390"/>
      <w:bookmarkEnd w:id="20"/>
    </w:p>
    <w:p w:rsidR="00C92BDE" w:rsidRDefault="005F47F4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Тема 3. </w:t>
      </w:r>
      <w:r>
        <w:rPr>
          <w:rFonts w:eastAsia="Calibri"/>
          <w:b/>
          <w:bCs/>
          <w:sz w:val="28"/>
          <w:szCs w:val="28"/>
          <w:lang w:eastAsia="en-US"/>
        </w:rPr>
        <w:t xml:space="preserve">Учетные процедуры обязательств и формирования финансового результата в организациях сектора государственного управления 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Общее понятие процесса санкционирования расходов бюджета. Этапы санкционирования расходов. Учет санкционированных расходов. Порядок санкционирования оплаты денежных обязательств. Группировка показателей по санкционированию расходов по счетам бухгалтерского учета. </w:t>
      </w:r>
      <w:r>
        <w:rPr>
          <w:rFonts w:eastAsia="Calibri"/>
          <w:sz w:val="28"/>
          <w:szCs w:val="28"/>
        </w:rPr>
        <w:t xml:space="preserve">Учет принятых и принимаемых обязательств (денежных обязательств) учреждений. Счета, </w:t>
      </w:r>
      <w:r>
        <w:rPr>
          <w:rFonts w:eastAsia="Calibri"/>
          <w:sz w:val="28"/>
          <w:szCs w:val="28"/>
        </w:rPr>
        <w:lastRenderedPageBreak/>
        <w:t>предназначенные для учета принятых и принимаемых обязательств учреждений. Порядок аналитического учета принятых и принимаемых обязательств учреждений.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r>
        <w:rPr>
          <w:bCs/>
          <w:i/>
          <w:iCs/>
          <w:sz w:val="28"/>
          <w:szCs w:val="28"/>
        </w:rPr>
        <w:t>СГС «Финансовые инструменты».</w:t>
      </w:r>
      <w:r>
        <w:rPr>
          <w:bCs/>
          <w:color w:val="FF0000"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Признание финансовых обязательств. Прекращение признания финансовых обязательств. </w:t>
      </w:r>
      <w:r>
        <w:rPr>
          <w:bCs/>
          <w:i/>
          <w:iCs/>
          <w:color w:val="000000"/>
          <w:sz w:val="28"/>
          <w:szCs w:val="28"/>
        </w:rPr>
        <w:t>СГС «Выплаты персоналу».</w:t>
      </w:r>
      <w:r>
        <w:rPr>
          <w:bCs/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Признание и оценка при признании объектов учета выплат персоналу. Последующая оценка объектов учета выплат персоналу. Прекращение признания объектов учета выплат персоналу. </w:t>
      </w:r>
      <w:r>
        <w:rPr>
          <w:bCs/>
          <w:i/>
          <w:iCs/>
          <w:color w:val="000000"/>
          <w:sz w:val="28"/>
          <w:szCs w:val="28"/>
        </w:rPr>
        <w:t>СГС «Долгосрочные договоры».</w:t>
      </w:r>
      <w:r>
        <w:rPr>
          <w:bCs/>
          <w:color w:val="000000"/>
          <w:sz w:val="28"/>
          <w:szCs w:val="28"/>
        </w:rPr>
        <w:t xml:space="preserve"> Признание доходов и расходов по долгосрочным договорам строительного подряда. </w:t>
      </w:r>
      <w:r>
        <w:rPr>
          <w:rFonts w:eastAsia="Calibri"/>
          <w:bCs/>
          <w:sz w:val="28"/>
          <w:szCs w:val="28"/>
        </w:rPr>
        <w:t xml:space="preserve">Признание доходов и расходов по иным долгосрочным договорам. </w:t>
      </w:r>
    </w:p>
    <w:p w:rsidR="00C92BDE" w:rsidRDefault="005F47F4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Cs/>
          <w:i/>
          <w:iCs/>
          <w:sz w:val="28"/>
          <w:szCs w:val="28"/>
        </w:rPr>
        <w:t>СГС «Доходы».</w:t>
      </w:r>
      <w:r>
        <w:rPr>
          <w:rFonts w:eastAsia="Calibri"/>
          <w:bCs/>
          <w:sz w:val="28"/>
          <w:szCs w:val="28"/>
        </w:rPr>
        <w:t xml:space="preserve"> Признание и оценка доходов. Признание доходов от необменных операций. Признание доходов от обменных операций. </w:t>
      </w:r>
      <w:r>
        <w:rPr>
          <w:rFonts w:eastAsia="Calibri"/>
          <w:bCs/>
          <w:i/>
          <w:iCs/>
          <w:sz w:val="28"/>
          <w:szCs w:val="28"/>
        </w:rPr>
        <w:t>СГС «Резервы. Раскрытие информации об условных обязательствах и условных активах».</w:t>
      </w:r>
      <w:r>
        <w:rPr>
          <w:rFonts w:eastAsia="Calibri"/>
          <w:bCs/>
          <w:sz w:val="28"/>
          <w:szCs w:val="28"/>
        </w:rPr>
        <w:t xml:space="preserve"> Признание резервов. Оценка резервов при признании. Последующая оценка резервов. Раскрытие информации о резервах. </w:t>
      </w:r>
      <w:r>
        <w:rPr>
          <w:sz w:val="28"/>
          <w:szCs w:val="28"/>
          <w:lang w:eastAsia="en-US"/>
        </w:rPr>
        <w:t xml:space="preserve">Формирование финансового результата в организациях бюджетной сферы. </w:t>
      </w:r>
    </w:p>
    <w:p w:rsidR="00C92BDE" w:rsidRDefault="005F47F4">
      <w:pPr>
        <w:pStyle w:val="aff6"/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Тема 4. Анализ финансово-хозяйственной деятельности </w:t>
      </w:r>
      <w:r>
        <w:rPr>
          <w:b/>
          <w:sz w:val="28"/>
          <w:szCs w:val="28"/>
        </w:rPr>
        <w:t>экономических субъектов государственного сектора</w:t>
      </w:r>
    </w:p>
    <w:p w:rsidR="00C92BDE" w:rsidRDefault="005F47F4">
      <w:pPr>
        <w:pStyle w:val="aff6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показатели и определяющие факторы в системе государственного управления. Факторный анализ и моделирование хозяйственных процессов. Критерии и методы оценки эффективности деятельности государственных учреждений. Ключевые показатели-индикаторы оценки деятельности экономического субъекта. </w:t>
      </w:r>
    </w:p>
    <w:p w:rsidR="00C92BDE" w:rsidRDefault="005F47F4">
      <w:pPr>
        <w:pStyle w:val="aff6"/>
        <w:shd w:val="clear" w:color="auto" w:fill="FFFFFF"/>
        <w:spacing w:line="360" w:lineRule="auto"/>
        <w:ind w:firstLine="709"/>
        <w:jc w:val="both"/>
        <w:rPr>
          <w:kern w:val="2"/>
          <w:sz w:val="28"/>
          <w:szCs w:val="28"/>
        </w:rPr>
      </w:pPr>
      <w:r>
        <w:rPr>
          <w:rFonts w:eastAsiaTheme="minorEastAsia"/>
          <w:bCs/>
          <w:iCs/>
          <w:kern w:val="2"/>
          <w:sz w:val="28"/>
          <w:szCs w:val="28"/>
        </w:rPr>
        <w:t xml:space="preserve">Анализ динамики и структуры имущества </w:t>
      </w:r>
      <w:r>
        <w:rPr>
          <w:iCs/>
          <w:sz w:val="28"/>
          <w:szCs w:val="28"/>
        </w:rPr>
        <w:t>организаций государственного сектора</w:t>
      </w:r>
      <w:r>
        <w:rPr>
          <w:rFonts w:eastAsiaTheme="minorEastAsia"/>
          <w:bCs/>
          <w:iCs/>
          <w:kern w:val="2"/>
          <w:sz w:val="28"/>
          <w:szCs w:val="28"/>
        </w:rPr>
        <w:t xml:space="preserve">: основные средства, нематериальные активы, материальные запасы, непроизведенные активы. Показатели, оценивающие экономический потенциал экономического субъекта. Результативность финансово-хозяйственной деятельности </w:t>
      </w:r>
      <w:r>
        <w:rPr>
          <w:iCs/>
          <w:sz w:val="28"/>
          <w:szCs w:val="28"/>
        </w:rPr>
        <w:t>организаций государственного сектора</w:t>
      </w:r>
      <w:r>
        <w:rPr>
          <w:rFonts w:eastAsiaTheme="minorEastAsia"/>
          <w:bCs/>
          <w:iCs/>
          <w:kern w:val="2"/>
          <w:sz w:val="28"/>
          <w:szCs w:val="28"/>
        </w:rPr>
        <w:t xml:space="preserve">: анализ эффективности </w:t>
      </w:r>
      <w:r>
        <w:rPr>
          <w:rFonts w:eastAsiaTheme="minorEastAsia"/>
          <w:bCs/>
          <w:iCs/>
          <w:kern w:val="2"/>
          <w:sz w:val="28"/>
          <w:szCs w:val="28"/>
        </w:rPr>
        <w:lastRenderedPageBreak/>
        <w:t xml:space="preserve">использования имущества, анализ результатов финансово-хозяйственной деятельности по источникам финансового обеспечения. </w:t>
      </w:r>
      <w:r>
        <w:rPr>
          <w:kern w:val="2"/>
          <w:sz w:val="28"/>
          <w:szCs w:val="28"/>
        </w:rPr>
        <w:t xml:space="preserve">Анализ дебиторской и кредиторской задолженности. Анализ бюджетных, денежных обязательств (принимаемых, принятых, исполненных). Анализ отложенных </w:t>
      </w:r>
      <w:proofErr w:type="spellStart"/>
      <w:r>
        <w:rPr>
          <w:kern w:val="2"/>
          <w:sz w:val="28"/>
          <w:szCs w:val="28"/>
        </w:rPr>
        <w:t>обзательств</w:t>
      </w:r>
      <w:proofErr w:type="spellEnd"/>
      <w:r>
        <w:rPr>
          <w:kern w:val="2"/>
          <w:sz w:val="28"/>
          <w:szCs w:val="28"/>
        </w:rPr>
        <w:t xml:space="preserve">. Анализ трудового потенциала и использования фонда заработной платы. Общая оценка трудового потенциала. Анализ обеспеченности трудовыми ресурсами. Анализ использования фонда рабочего времени, анализ факторов использования рабочего времени. Анализ эффективности использования персонала. Анализ абсолютной и относительной экономии по фонду заработной платы. </w:t>
      </w:r>
    </w:p>
    <w:p w:rsidR="00C92BDE" w:rsidRDefault="005F47F4">
      <w:pPr>
        <w:pStyle w:val="2"/>
        <w:numPr>
          <w:ilvl w:val="0"/>
          <w:numId w:val="0"/>
        </w:numPr>
        <w:spacing w:line="360" w:lineRule="auto"/>
        <w:jc w:val="left"/>
        <w:rPr>
          <w:szCs w:val="28"/>
        </w:rPr>
      </w:pPr>
      <w:bookmarkStart w:id="21" w:name="_Toc34227919"/>
      <w:r>
        <w:rPr>
          <w:bCs/>
          <w:szCs w:val="28"/>
        </w:rPr>
        <w:t xml:space="preserve">5.2. </w:t>
      </w:r>
      <w:bookmarkEnd w:id="19"/>
      <w:r>
        <w:rPr>
          <w:szCs w:val="28"/>
        </w:rPr>
        <w:t>Учебно-тематический план</w:t>
      </w:r>
      <w:bookmarkEnd w:id="21"/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26"/>
        <w:gridCol w:w="2832"/>
        <w:gridCol w:w="851"/>
        <w:gridCol w:w="572"/>
        <w:gridCol w:w="564"/>
        <w:gridCol w:w="992"/>
        <w:gridCol w:w="994"/>
        <w:gridCol w:w="707"/>
        <w:gridCol w:w="1689"/>
      </w:tblGrid>
      <w:tr w:rsidR="00C92BDE">
        <w:trPr>
          <w:trHeight w:val="20"/>
        </w:trPr>
        <w:tc>
          <w:tcPr>
            <w:tcW w:w="426" w:type="dxa"/>
            <w:vMerge w:val="restart"/>
          </w:tcPr>
          <w:p w:rsidR="00C92BDE" w:rsidRDefault="00C92BDE">
            <w:pPr>
              <w:rPr>
                <w:sz w:val="20"/>
                <w:szCs w:val="20"/>
              </w:rPr>
            </w:pPr>
          </w:p>
          <w:p w:rsidR="00C92BDE" w:rsidRDefault="005F47F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</w:t>
            </w:r>
            <w:r>
              <w:rPr>
                <w:bCs/>
                <w:spacing w:val="-14"/>
                <w:sz w:val="20"/>
                <w:szCs w:val="20"/>
              </w:rPr>
              <w:t>п/п</w:t>
            </w:r>
          </w:p>
        </w:tc>
        <w:tc>
          <w:tcPr>
            <w:tcW w:w="2835" w:type="dxa"/>
            <w:vMerge w:val="restart"/>
          </w:tcPr>
          <w:p w:rsidR="00C92BDE" w:rsidRDefault="00C92BDE">
            <w:pPr>
              <w:rPr>
                <w:sz w:val="20"/>
                <w:szCs w:val="20"/>
              </w:rPr>
            </w:pPr>
          </w:p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 xml:space="preserve">Наименование </w:t>
            </w:r>
            <w:r>
              <w:rPr>
                <w:bCs/>
                <w:sz w:val="20"/>
                <w:szCs w:val="20"/>
              </w:rPr>
              <w:t>темы (раздела) дисциплины</w:t>
            </w:r>
          </w:p>
        </w:tc>
        <w:tc>
          <w:tcPr>
            <w:tcW w:w="4684" w:type="dxa"/>
            <w:gridSpan w:val="6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Трудоемкость в часах</w:t>
            </w:r>
          </w:p>
        </w:tc>
        <w:tc>
          <w:tcPr>
            <w:tcW w:w="1691" w:type="dxa"/>
            <w:vMerge w:val="restart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92BDE">
        <w:trPr>
          <w:trHeight w:val="20"/>
        </w:trPr>
        <w:tc>
          <w:tcPr>
            <w:tcW w:w="426" w:type="dxa"/>
            <w:vMerge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 w:val="restart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124" w:type="dxa"/>
            <w:gridSpan w:val="4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708" w:type="dxa"/>
            <w:vMerge w:val="restart"/>
            <w:textDirection w:val="btLr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691" w:type="dxa"/>
            <w:vMerge/>
          </w:tcPr>
          <w:p w:rsidR="00C92BDE" w:rsidRDefault="00C92BDE">
            <w:pPr>
              <w:jc w:val="center"/>
              <w:rPr>
                <w:sz w:val="20"/>
                <w:szCs w:val="20"/>
              </w:rPr>
            </w:pPr>
          </w:p>
        </w:tc>
      </w:tr>
      <w:tr w:rsidR="00C92BDE">
        <w:trPr>
          <w:trHeight w:val="1703"/>
        </w:trPr>
        <w:tc>
          <w:tcPr>
            <w:tcW w:w="426" w:type="dxa"/>
            <w:vMerge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textDirection w:val="btLr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Общая</w:t>
            </w:r>
          </w:p>
        </w:tc>
        <w:tc>
          <w:tcPr>
            <w:tcW w:w="564" w:type="dxa"/>
            <w:textDirection w:val="btLr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993" w:type="dxa"/>
            <w:textDirection w:val="btLr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Практич</w:t>
            </w:r>
            <w:r>
              <w:rPr>
                <w:sz w:val="20"/>
                <w:szCs w:val="20"/>
              </w:rPr>
              <w:t xml:space="preserve">еские и </w:t>
            </w:r>
            <w:r>
              <w:rPr>
                <w:spacing w:val="-2"/>
                <w:sz w:val="20"/>
                <w:szCs w:val="20"/>
              </w:rPr>
              <w:t>семинар</w:t>
            </w:r>
            <w:r>
              <w:rPr>
                <w:sz w:val="20"/>
                <w:szCs w:val="20"/>
              </w:rPr>
              <w:t xml:space="preserve">ские </w:t>
            </w:r>
            <w:r>
              <w:rPr>
                <w:spacing w:val="-2"/>
                <w:sz w:val="20"/>
                <w:szCs w:val="20"/>
              </w:rPr>
              <w:t>занятия</w:t>
            </w:r>
          </w:p>
        </w:tc>
        <w:tc>
          <w:tcPr>
            <w:tcW w:w="995" w:type="dxa"/>
            <w:textDirection w:val="btLr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Занятия </w:t>
            </w:r>
            <w:r>
              <w:rPr>
                <w:bCs/>
                <w:sz w:val="20"/>
                <w:szCs w:val="20"/>
              </w:rPr>
              <w:t xml:space="preserve">в </w:t>
            </w:r>
            <w:r>
              <w:rPr>
                <w:spacing w:val="-2"/>
                <w:sz w:val="20"/>
                <w:szCs w:val="20"/>
              </w:rPr>
              <w:t>интеракт</w:t>
            </w:r>
            <w:r>
              <w:rPr>
                <w:sz w:val="20"/>
                <w:szCs w:val="20"/>
              </w:rPr>
              <w:t>ивных формах</w:t>
            </w:r>
          </w:p>
        </w:tc>
        <w:tc>
          <w:tcPr>
            <w:tcW w:w="708" w:type="dxa"/>
            <w:vMerge/>
            <w:textDirection w:val="btLr"/>
          </w:tcPr>
          <w:p w:rsidR="00C92BDE" w:rsidRDefault="00C92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1" w:type="dxa"/>
            <w:vMerge/>
          </w:tcPr>
          <w:p w:rsidR="00C92BDE" w:rsidRDefault="00C92BDE">
            <w:pPr>
              <w:jc w:val="center"/>
              <w:rPr>
                <w:sz w:val="20"/>
                <w:szCs w:val="20"/>
              </w:rPr>
            </w:pP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5F47F4">
            <w:pPr>
              <w:pStyle w:val="aff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C92BDE" w:rsidRDefault="005F47F4">
            <w:pPr>
              <w:pStyle w:val="aff6"/>
              <w:shd w:val="clear" w:color="auto" w:fill="FFFFFF"/>
              <w:spacing w:before="280" w:beforeAutospacing="0" w:after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1. </w:t>
            </w:r>
          </w:p>
          <w:p w:rsidR="00C92BDE" w:rsidRDefault="005F47F4">
            <w:pPr>
              <w:pStyle w:val="aff6"/>
              <w:shd w:val="clear" w:color="auto" w:fill="FFFFFF"/>
              <w:spacing w:before="280" w:beforeAutospacing="0" w:after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Концептуальные основы и модели бухгалтерского (бюджетного) учета</w:t>
            </w:r>
          </w:p>
        </w:tc>
        <w:tc>
          <w:tcPr>
            <w:tcW w:w="85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4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91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5F47F4">
            <w:pPr>
              <w:pStyle w:val="aff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2. </w:t>
            </w:r>
          </w:p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Учетные процедуры нефинансовых и финансовых активов в организациях сектора государственного управления</w:t>
            </w:r>
          </w:p>
        </w:tc>
        <w:tc>
          <w:tcPr>
            <w:tcW w:w="85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7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4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691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5F47F4">
            <w:pPr>
              <w:pStyle w:val="aff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3. </w:t>
            </w:r>
          </w:p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Учетные процедуры обязательств и формирования финансового результата в организациях сектора государственного управления</w:t>
            </w:r>
          </w:p>
        </w:tc>
        <w:tc>
          <w:tcPr>
            <w:tcW w:w="85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7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4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91" w:type="dxa"/>
          </w:tcPr>
          <w:p w:rsidR="00C92BDE" w:rsidRDefault="005F47F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5F47F4">
            <w:pPr>
              <w:pStyle w:val="aff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835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4. </w:t>
            </w:r>
          </w:p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85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72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4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C92BDE" w:rsidRDefault="005F4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91" w:type="dxa"/>
          </w:tcPr>
          <w:p w:rsidR="00C92BDE" w:rsidRDefault="005F47F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C92BDE">
            <w:pPr>
              <w:pStyle w:val="affa"/>
              <w:ind w:left="0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92BDE" w:rsidRDefault="005F47F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целом по дисциплине</w:t>
            </w:r>
          </w:p>
        </w:tc>
        <w:tc>
          <w:tcPr>
            <w:tcW w:w="852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572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564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8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1691" w:type="dxa"/>
          </w:tcPr>
          <w:p w:rsidR="00C92BDE" w:rsidRDefault="005F47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</w:t>
            </w:r>
          </w:p>
        </w:tc>
      </w:tr>
      <w:tr w:rsidR="00C92BDE">
        <w:trPr>
          <w:trHeight w:val="20"/>
        </w:trPr>
        <w:tc>
          <w:tcPr>
            <w:tcW w:w="426" w:type="dxa"/>
          </w:tcPr>
          <w:p w:rsidR="00C92BDE" w:rsidRDefault="00C92BDE">
            <w:pPr>
              <w:pStyle w:val="affa"/>
              <w:ind w:left="0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92BDE" w:rsidRDefault="005F47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в%</w:t>
            </w:r>
          </w:p>
        </w:tc>
        <w:tc>
          <w:tcPr>
            <w:tcW w:w="852" w:type="dxa"/>
          </w:tcPr>
          <w:p w:rsidR="00C92BDE" w:rsidRDefault="00C92B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2" w:type="dxa"/>
          </w:tcPr>
          <w:p w:rsidR="00C92BDE" w:rsidRDefault="005F47F4">
            <w:pPr>
              <w:ind w:left="-10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564" w:type="dxa"/>
          </w:tcPr>
          <w:p w:rsidR="00C92BDE" w:rsidRDefault="005F47F4">
            <w:pPr>
              <w:ind w:left="-121" w:right="-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993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995" w:type="dxa"/>
          </w:tcPr>
          <w:p w:rsidR="00C92BDE" w:rsidRDefault="005F47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708" w:type="dxa"/>
          </w:tcPr>
          <w:p w:rsidR="00C92BDE" w:rsidRDefault="00C92B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1" w:type="dxa"/>
          </w:tcPr>
          <w:p w:rsidR="00C92BDE" w:rsidRDefault="00C92BDE">
            <w:pPr>
              <w:rPr>
                <w:sz w:val="20"/>
                <w:szCs w:val="20"/>
              </w:rPr>
            </w:pPr>
          </w:p>
        </w:tc>
      </w:tr>
    </w:tbl>
    <w:p w:rsidR="00C92BDE" w:rsidRDefault="00C92BDE">
      <w:pPr>
        <w:pStyle w:val="15"/>
        <w:tabs>
          <w:tab w:val="left" w:pos="7655"/>
        </w:tabs>
        <w:spacing w:line="360" w:lineRule="auto"/>
        <w:outlineLvl w:val="1"/>
        <w:rPr>
          <w:rFonts w:ascii="Times New Roman" w:hAnsi="Times New Roman"/>
          <w:b/>
          <w:iCs/>
          <w:sz w:val="28"/>
          <w:szCs w:val="28"/>
        </w:rPr>
      </w:pPr>
    </w:p>
    <w:p w:rsidR="00C92BDE" w:rsidRDefault="005F47F4">
      <w:pPr>
        <w:pStyle w:val="15"/>
        <w:tabs>
          <w:tab w:val="left" w:pos="7655"/>
        </w:tabs>
        <w:spacing w:line="360" w:lineRule="auto"/>
        <w:outlineLvl w:val="1"/>
        <w:rPr>
          <w:rFonts w:ascii="Times New Roman" w:hAnsi="Times New Roman"/>
          <w:b/>
          <w:iCs/>
          <w:sz w:val="28"/>
          <w:szCs w:val="28"/>
        </w:rPr>
      </w:pPr>
      <w:bookmarkStart w:id="22" w:name="_Toc324441758"/>
      <w:r>
        <w:rPr>
          <w:rFonts w:ascii="Times New Roman" w:hAnsi="Times New Roman"/>
          <w:b/>
          <w:iCs/>
          <w:sz w:val="28"/>
          <w:szCs w:val="28"/>
        </w:rPr>
        <w:lastRenderedPageBreak/>
        <w:t>5.3.</w:t>
      </w:r>
      <w:bookmarkEnd w:id="22"/>
      <w:r>
        <w:rPr>
          <w:rFonts w:ascii="Times New Roman" w:hAnsi="Times New Roman"/>
          <w:b/>
          <w:iCs/>
          <w:sz w:val="28"/>
          <w:szCs w:val="28"/>
        </w:rPr>
        <w:t xml:space="preserve"> Содержание семинаров, практических занятий</w:t>
      </w:r>
    </w:p>
    <w:tbl>
      <w:tblPr>
        <w:tblStyle w:val="34"/>
        <w:tblW w:w="9750" w:type="dxa"/>
        <w:tblLayout w:type="fixed"/>
        <w:tblLook w:val="04A0" w:firstRow="1" w:lastRow="0" w:firstColumn="1" w:lastColumn="0" w:noHBand="0" w:noVBand="1"/>
      </w:tblPr>
      <w:tblGrid>
        <w:gridCol w:w="1731"/>
        <w:gridCol w:w="6290"/>
        <w:gridCol w:w="1729"/>
      </w:tblGrid>
      <w:tr w:rsidR="00C92BDE">
        <w:trPr>
          <w:trHeight w:val="20"/>
        </w:trPr>
        <w:tc>
          <w:tcPr>
            <w:tcW w:w="1731" w:type="dxa"/>
          </w:tcPr>
          <w:p w:rsidR="00C92BDE" w:rsidRDefault="005F47F4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290" w:type="dxa"/>
          </w:tcPr>
          <w:p w:rsidR="00C92BDE" w:rsidRDefault="005F47F4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29" w:type="dxa"/>
          </w:tcPr>
          <w:p w:rsidR="00C92BDE" w:rsidRDefault="005F47F4">
            <w:pPr>
              <w:keepNext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C92BDE">
        <w:trPr>
          <w:trHeight w:val="20"/>
        </w:trPr>
        <w:tc>
          <w:tcPr>
            <w:tcW w:w="1731" w:type="dxa"/>
          </w:tcPr>
          <w:p w:rsidR="00C92BDE" w:rsidRDefault="005F47F4">
            <w:pPr>
              <w:pStyle w:val="aff6"/>
              <w:shd w:val="clear" w:color="auto" w:fill="FFFFFF"/>
              <w:spacing w:before="280" w:beforeAutospacing="0" w:after="28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1. </w:t>
            </w:r>
          </w:p>
          <w:p w:rsidR="00C92BDE" w:rsidRDefault="005F47F4">
            <w:pPr>
              <w:rPr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Концептуальные основы и модели бухгалтерского (бюджетного) учета</w:t>
            </w:r>
          </w:p>
        </w:tc>
        <w:tc>
          <w:tcPr>
            <w:tcW w:w="6290" w:type="dxa"/>
          </w:tcPr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1.Формирование единой электронной системы формирования данных учета и отчетности государственных финансов путем консолидации учетной информации о государственных финансах бюджетов бюджетной системы.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2.Централизованная модель ведения бухгалтерского учета, формирования отчетности, начисления и выплаты заработной платы в организациях бюджетной сферы.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Единая государственная учетная политика на основе федеральных стандартов бухгалтерского учета государственных финансов.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СГС «Концептуальные основы бухгалтерского учета и отчетности организаций государственного сектора».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Основные правила (способы) ведения бухгалтерского учета.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Общие правила признания и прекращения признания объектов бухгалтерского учета.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Оценка и методы оценки объектов бухгалтерского учета.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8.Основные требования к инвентаризации активов и обязательств.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СГС «Учетная политика, оценочные значения и ошибки».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Формирование, утверждение и изменение учетной политики, раскрытие учетной политики.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 Отражение изменений оценочных значений в бухгалтерской (финансовой) отчетности и раскрытие информации в бухгалтерской (финансовой) отчетности. </w:t>
            </w:r>
          </w:p>
          <w:p w:rsidR="00C92BDE" w:rsidRDefault="005F47F4">
            <w:pPr>
              <w:jc w:val="both"/>
              <w:rPr>
                <w:b/>
                <w:bCs/>
                <w:color w:val="0000CC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Рекомендуемые источники: 8, 9, 11</w:t>
            </w:r>
          </w:p>
        </w:tc>
        <w:tc>
          <w:tcPr>
            <w:tcW w:w="1729" w:type="dxa"/>
          </w:tcPr>
          <w:p w:rsidR="00C92BDE" w:rsidRDefault="005F47F4">
            <w:pPr>
              <w:tabs>
                <w:tab w:val="left" w:pos="709"/>
                <w:tab w:val="left" w:pos="993"/>
              </w:tabs>
              <w:rPr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1731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2. </w:t>
            </w:r>
          </w:p>
          <w:p w:rsidR="00C92BDE" w:rsidRDefault="005F47F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Учетные процедуры нефинансовых и финансовых активов в организациях сектора государственного управления</w:t>
            </w:r>
          </w:p>
        </w:tc>
        <w:tc>
          <w:tcPr>
            <w:tcW w:w="6290" w:type="dxa"/>
          </w:tcPr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1. СГС «Основные средства».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2. Признание объектов основных средств. Оценка объектов основных средств при их признании. Последующая оценка объектов основных средств. Амортизация объекта основных средств. Обесценение объекта основных средств. Прекращение признания объекта основных средств.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 СГС «Нематериальные активы». Признание объектов нематериальных активов. Оценка объектов нематериальных активов при их признании. Последующая оценка объектов нематериальных активов. Амортизация объектов нематериальных активов.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4. Обесценение объектов нематериальных активов.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5. Прекращение признания объекта нематериальных активов.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6. СГС «Непроизведенные активы».  Признание объектов непроизведенных активов. Оценка объектов непроизведенных активов при их признании. Последующая оценка объектов непроизведенных активов. Обесценение объектов непроизведенных активов. Прекращение признания объектов непроизведенных активов.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7. СГС «Запасы».  Признание запасов.  Оценка запасов при их признании. Последующая оценка запасов. Прекращение признания запасов. Методы оценки запасов при выбытии.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8. СГС «Финансовые инструменты». Признание финансовых активов.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Реклассификация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финансовых активов. Обесценение финансовых активов. Прекращение признания финансовых активов.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Рекомендуемые источники: 8, 9, 11</w:t>
            </w:r>
          </w:p>
        </w:tc>
        <w:tc>
          <w:tcPr>
            <w:tcW w:w="1729" w:type="dxa"/>
          </w:tcPr>
          <w:p w:rsidR="00C92BDE" w:rsidRDefault="005F47F4">
            <w:pPr>
              <w:tabs>
                <w:tab w:val="left" w:pos="709"/>
                <w:tab w:val="left" w:pos="993"/>
              </w:tabs>
              <w:rPr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1731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3. </w:t>
            </w:r>
          </w:p>
          <w:p w:rsidR="00C92BDE" w:rsidRDefault="005F47F4">
            <w:pPr>
              <w:rPr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Учетные процедуры обязательств и формирования финансового результата в организациях сектора государственного управления</w:t>
            </w:r>
          </w:p>
        </w:tc>
        <w:tc>
          <w:tcPr>
            <w:tcW w:w="6290" w:type="dxa"/>
          </w:tcPr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Общее понятие процесса санкционирования расходов бюджета.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Этапы санкционирования расходов.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Учет санкционированных расходов.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Порядок санкционирования оплаты денежных обязательств.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Группировка показателей по санкционированию расходов по счетам бухгалтерского учета.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>
              <w:rPr>
                <w:rFonts w:eastAsia="Calibri"/>
                <w:sz w:val="20"/>
                <w:szCs w:val="20"/>
              </w:rPr>
              <w:t xml:space="preserve">Учет принятых и принимаемых обязательств (денежных обязательств) учреждений. 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 Счета, предназначенные для учета принятых и принимаемых обязательств учреждений.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8. Порядок аналитического учета принятых и принимаемых обязательств учреждений.</w:t>
            </w:r>
          </w:p>
          <w:p w:rsidR="00C92BDE" w:rsidRDefault="005F47F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9. СГС «Финансовые инструменты».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</w:t>
            </w:r>
            <w:r>
              <w:rPr>
                <w:rFonts w:eastAsia="Calibri"/>
                <w:bCs/>
                <w:sz w:val="20"/>
                <w:szCs w:val="20"/>
              </w:rPr>
              <w:t>Признание финансовых обязательств.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11. Прекращение признания финансовых обязательств. </w:t>
            </w:r>
          </w:p>
          <w:p w:rsidR="00C92BDE" w:rsidRDefault="005F47F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12. СГС «Выплаты персоналу». 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 </w:t>
            </w:r>
            <w:r>
              <w:rPr>
                <w:rFonts w:eastAsia="Calibri"/>
                <w:sz w:val="20"/>
                <w:szCs w:val="20"/>
              </w:rPr>
              <w:t xml:space="preserve">Признание и оценка при признании объектов учета выплат персоналу. 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14. Последующая оценка объектов учета выплат персоналу. </w:t>
            </w:r>
          </w:p>
          <w:p w:rsidR="00C92BDE" w:rsidRDefault="005F47F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15.Прекращение признания объектов учета выплат персоналу. 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16. СГС «Доходы». 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17. Признание и оценка доходов. 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18. Признание доходов от необменных операций.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19. Признание доходов от обменных операций. </w:t>
            </w:r>
          </w:p>
          <w:p w:rsidR="00C92BDE" w:rsidRDefault="005F47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20. СГС «Резервы. Раскрытие информации об условных обязательствах и условных активах». Признание резервов.  Оценка резервов при признании. Последующая оценка резервов.  Раскрытие информации о резервах.</w:t>
            </w:r>
          </w:p>
          <w:p w:rsidR="00C92BDE" w:rsidRDefault="005F47F4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21. </w:t>
            </w:r>
            <w:r>
              <w:rPr>
                <w:sz w:val="20"/>
                <w:szCs w:val="20"/>
                <w:lang w:eastAsia="en-US"/>
              </w:rPr>
              <w:t xml:space="preserve">Формирование финансового результата в организациях бюджетной сферы. </w:t>
            </w:r>
          </w:p>
          <w:p w:rsidR="00C92BDE" w:rsidRDefault="005F47F4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Рекомендуемые источники: 8, 9, 11</w:t>
            </w:r>
          </w:p>
        </w:tc>
        <w:tc>
          <w:tcPr>
            <w:tcW w:w="1729" w:type="dxa"/>
          </w:tcPr>
          <w:p w:rsidR="00C92BDE" w:rsidRDefault="005F47F4">
            <w:pPr>
              <w:tabs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  <w:tr w:rsidR="00C92BDE">
        <w:trPr>
          <w:trHeight w:val="20"/>
        </w:trPr>
        <w:tc>
          <w:tcPr>
            <w:tcW w:w="1731" w:type="dxa"/>
          </w:tcPr>
          <w:p w:rsidR="00C92BDE" w:rsidRDefault="005F47F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4. </w:t>
            </w:r>
          </w:p>
          <w:p w:rsidR="00C92BDE" w:rsidRDefault="005F47F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Анализ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6290" w:type="dxa"/>
          </w:tcPr>
          <w:p w:rsidR="00C92BDE" w:rsidRDefault="005F47F4">
            <w:pPr>
              <w:pStyle w:val="aff6"/>
              <w:shd w:val="clear" w:color="auto" w:fill="FFFFFF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Информационная база и организация проведения финансового анализа. </w:t>
            </w:r>
            <w:proofErr w:type="spellStart"/>
            <w:r>
              <w:rPr>
                <w:sz w:val="20"/>
                <w:szCs w:val="20"/>
              </w:rPr>
              <w:t>Этапность</w:t>
            </w:r>
            <w:proofErr w:type="spellEnd"/>
            <w:r>
              <w:rPr>
                <w:sz w:val="20"/>
                <w:szCs w:val="20"/>
              </w:rPr>
              <w:t xml:space="preserve"> проведения финансового анализа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Финансовые показатели и определяющие факторы в системе государственного управления. 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Схема формирования аналитических показателей и их взаимосвязь в системе управления экономическим субъектом.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Взаимосвязь направлений экономических показателей и факторов функционирования.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Методы, применяемые в финансовом анализе. Факторный анализ и моделирование хозяйственных процессов. Классификация внешних и внутренних факторов.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Методы детерминированного факторного анализа, метод дифференцирования, индексный метод, метод цепных подстановок, метод относительных разниц, метод пропорционального деления, интегральный метод.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Критерии и методы оценки эффективности деятельности государственных учреждений. Система показателей. Ключевые показатели-индикаторы оценки деятельности экономического субъекта.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8. Анализ динамики и структуры имущества организаций государственного сектора: основные средства, нематериальные активы, материальные запасы, непроизведенные активы. 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9. Результативность финансово-хозяйственной деятельности организаций государственного сектора: анализ эффективности использования имущества, анализ результатов финансово-хозяйственной деятельности по источникам финансового обеспечения.</w:t>
            </w:r>
          </w:p>
          <w:p w:rsidR="00C92BDE" w:rsidRDefault="005F47F4">
            <w:pPr>
              <w:shd w:val="clear" w:color="auto" w:fill="FFFFFF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10. Анализ дебиторской и кредиторской задолженности. </w:t>
            </w:r>
          </w:p>
          <w:p w:rsidR="00C92BDE" w:rsidRDefault="005F47F4">
            <w:pPr>
              <w:shd w:val="clear" w:color="auto" w:fill="FFFFFF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11. Анализ бюджетных, денежных обязательств (принимаемых, принятых, исполненных).  Анализ отложенных обязательств. </w:t>
            </w:r>
          </w:p>
          <w:p w:rsidR="00C92BDE" w:rsidRDefault="005F47F4">
            <w:pPr>
              <w:shd w:val="clear" w:color="auto" w:fill="FFFFFF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12. Анализ трудового потенциала и использования фонда заработной платы. Общая оценка трудового потенциала. Анализ абсолютной и относительной экономии по фонду заработной платы. </w:t>
            </w:r>
          </w:p>
          <w:p w:rsidR="00C92BDE" w:rsidRDefault="005F47F4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Рекомендуемые источники: 8, 9, 11</w:t>
            </w:r>
          </w:p>
        </w:tc>
        <w:tc>
          <w:tcPr>
            <w:tcW w:w="1729" w:type="dxa"/>
          </w:tcPr>
          <w:p w:rsidR="00C92BDE" w:rsidRDefault="005F47F4">
            <w:pPr>
              <w:tabs>
                <w:tab w:val="left" w:pos="709"/>
                <w:tab w:val="left" w:pos="993"/>
              </w:tabs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</w:tbl>
    <w:p w:rsidR="00C92BDE" w:rsidRDefault="00C92BDE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C92BDE" w:rsidRDefault="005F47F4">
      <w:pPr>
        <w:widowControl w:val="0"/>
        <w:spacing w:after="120"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92BDE" w:rsidRDefault="005F47F4">
      <w:pPr>
        <w:keepNext/>
        <w:widowControl w:val="0"/>
        <w:spacing w:after="120" w:line="360" w:lineRule="auto"/>
        <w:jc w:val="both"/>
        <w:outlineLvl w:val="0"/>
        <w:rPr>
          <w:b/>
          <w:sz w:val="28"/>
          <w:szCs w:val="28"/>
        </w:rPr>
      </w:pPr>
      <w:bookmarkStart w:id="23" w:name="_Toc34227922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tbl>
      <w:tblPr>
        <w:tblW w:w="992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267"/>
        <w:gridCol w:w="5246"/>
        <w:gridCol w:w="2411"/>
      </w:tblGrid>
      <w:tr w:rsidR="00C92BD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BDE" w:rsidRDefault="005F47F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92BDE" w:rsidRDefault="005F47F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92BDE" w:rsidRDefault="005F47F4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Формы внеаудиторной </w:t>
            </w:r>
          </w:p>
          <w:p w:rsidR="00C92BDE" w:rsidRDefault="005F47F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самостоятельной работы</w:t>
            </w:r>
          </w:p>
        </w:tc>
      </w:tr>
      <w:tr w:rsidR="00C92BD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pStyle w:val="aff6"/>
              <w:widowControl w:val="0"/>
              <w:shd w:val="clear" w:color="auto" w:fill="FFFFFF"/>
              <w:spacing w:before="280" w:beforeAutospacing="0" w:after="28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</w:p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Концептуальные основы и модели бухгалтерского (бюджетного) учета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СГС «Учет операций системы казначейских платежей». Ведение казначейского учета. Формирование плана счетов казначейского учета. Регистры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C92BD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2. </w:t>
            </w:r>
          </w:p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Учетные процедуры нефинансовых и финансовых активов в организациях сектора государственного управления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bCs/>
                <w:color w:val="0000CC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СГС «Государственная (муниципальная) казна». Признание и оценка нефинансовых активов имущества казны. Признание и оценка нефинансовых активов имущества казны. </w:t>
            </w:r>
            <w:proofErr w:type="spellStart"/>
            <w:r>
              <w:rPr>
                <w:rFonts w:eastAsia="Calibri"/>
                <w:sz w:val="20"/>
                <w:szCs w:val="20"/>
              </w:rPr>
              <w:t>Реклассификация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нефинансовых активов имущества казны. Переоценка стоимости нефинансовых активов имущества казны. Амортизация нефинансовых активов имущества казны. Прекращение признания нефинансовых активов имущества казны. Методы оценки нефинансовых активов имущества казны.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C92BD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 </w:t>
            </w:r>
          </w:p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Учетные процедуры обязательств и формирования финансового результата в организациях сектора государственного управления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bCs/>
                <w:color w:val="0000C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СГС «Долгосрочные договоры». Признание доходов и расходов по долгосрочным договорам строительного подряда. Признание доходов и расходов по иным долгосрочным договорам.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  <w:tr w:rsidR="00C92BDE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4. </w:t>
            </w:r>
          </w:p>
          <w:p w:rsidR="00C92BDE" w:rsidRDefault="005F47F4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финансово-хозяйственной деятельности экономических субъектов государственного сектора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финансового анализа. Методы и приемы финансового анализа. Информационная база финансового анализа. Основные функции финансового анализа. Диагностика и контроль финансово-экономических показателей на основе финансового анализа.</w:t>
            </w:r>
          </w:p>
          <w:p w:rsidR="00C92BDE" w:rsidRDefault="005F47F4">
            <w:pPr>
              <w:widowControl w:val="0"/>
              <w:jc w:val="both"/>
              <w:rPr>
                <w:bCs/>
                <w:color w:val="0000CC"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состава и структуры трудовых ресурсов. Показатели, на основе которых, можно проанализировать использование трудовых ресурсов. Методы анализа формирования и использования фонда заработной платы. Оценка влияние различных факторов на использование фонда заработной платы. Анализ и оценка влияние эффективности кадровой политики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научной, учебной и справочной литературой, Интернет-ресурсами.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Подбор, систематизация, критический анализ и обобщение материала. </w:t>
            </w:r>
          </w:p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опросу и тестированию по теме занятия.</w:t>
            </w:r>
          </w:p>
        </w:tc>
      </w:tr>
    </w:tbl>
    <w:p w:rsidR="00C92BDE" w:rsidRDefault="00C92BDE">
      <w:pPr>
        <w:pStyle w:val="2"/>
        <w:spacing w:line="360" w:lineRule="auto"/>
        <w:ind w:firstLine="709"/>
        <w:jc w:val="both"/>
        <w:rPr>
          <w:szCs w:val="28"/>
        </w:rPr>
      </w:pPr>
      <w:bookmarkStart w:id="24" w:name="_Hlk529151187"/>
      <w:bookmarkEnd w:id="24"/>
    </w:p>
    <w:p w:rsidR="00C92BDE" w:rsidRDefault="005F47F4">
      <w:pPr>
        <w:pStyle w:val="2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6.2. Перечень вопросов, заданий, тем для подготовки к текущему контролю</w:t>
      </w:r>
    </w:p>
    <w:p w:rsidR="00C92BDE" w:rsidRDefault="005F47F4">
      <w:pPr>
        <w:pStyle w:val="Default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вопросов к контрольной работе 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нефинансовых активов: экономический и правовой аспект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порядку формирования информации, раскрываемой в бухгалтерской (финансовой) отчетности, и ее качественные характеристики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отчетности в организация бюджетной сферы.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исправление ошибок, которые выявлены до даты представления отчетности.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Создание оценочных резервов на дату составления бухгалтерской финансовой отчетности.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Условные обязательства и условные активы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Финансовый результат казенного учреждения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результат деятельности организаций бюджетной сферы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Нефинансовые активы организаций бюджетной сферы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активы организаций бюджетной сферы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организаций бюджетной сферы как предмет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Учетно-контрольная информация для проведения финансового контроля.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централизованной учетной системы в секторе государственного управления.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Санкционирование расходов организаций учетной системы в секторе государственного управления.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Проведение контрольных процедур внешней проверки годового отчета об исполнении бюджета.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Бухгалтерская отчетность как информационно-аналитическая модель оценки эффективности использования бюджетных средств.</w:t>
      </w:r>
    </w:p>
    <w:p w:rsidR="00C92BDE" w:rsidRDefault="005F47F4">
      <w:pPr>
        <w:pStyle w:val="Default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обеспечение по применению аналитических процедур в государственном аудите бюджетной отчетности.</w:t>
      </w:r>
    </w:p>
    <w:p w:rsidR="00C92BDE" w:rsidRDefault="005F47F4">
      <w:pPr>
        <w:pStyle w:val="1"/>
        <w:ind w:firstLine="709"/>
        <w:jc w:val="both"/>
        <w:rPr>
          <w:b/>
          <w:sz w:val="28"/>
          <w:szCs w:val="28"/>
        </w:rPr>
      </w:pPr>
      <w:bookmarkStart w:id="25" w:name="_Toc462852066"/>
      <w:bookmarkStart w:id="26" w:name="_Toc3422792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C92BDE" w:rsidRDefault="005F47F4">
      <w:pPr>
        <w:spacing w:line="360" w:lineRule="auto"/>
        <w:ind w:firstLine="709"/>
        <w:jc w:val="both"/>
        <w:rPr>
          <w:sz w:val="28"/>
          <w:szCs w:val="28"/>
        </w:rPr>
        <w:sectPr w:rsidR="00C92BDE">
          <w:footerReference w:type="default" r:id="rId8"/>
          <w:pgSz w:w="11906" w:h="16838"/>
          <w:pgMar w:top="1134" w:right="851" w:bottom="1134" w:left="1418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C92BDE" w:rsidRDefault="005F47F4">
      <w:pPr>
        <w:spacing w:line="360" w:lineRule="auto"/>
        <w:jc w:val="both"/>
        <w:rPr>
          <w:b/>
          <w:bCs/>
          <w:sz w:val="23"/>
          <w:szCs w:val="23"/>
        </w:rPr>
      </w:pPr>
      <w:bookmarkStart w:id="27" w:name="_Toc529894758"/>
      <w:bookmarkStart w:id="28" w:name="_Toc34227927"/>
      <w:r>
        <w:rPr>
          <w:b/>
          <w:bCs/>
          <w:sz w:val="23"/>
          <w:szCs w:val="23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</w:p>
    <w:tbl>
      <w:tblPr>
        <w:tblStyle w:val="34"/>
        <w:tblW w:w="14596" w:type="dxa"/>
        <w:tblLayout w:type="fixed"/>
        <w:tblLook w:val="04A0" w:firstRow="1" w:lastRow="0" w:firstColumn="1" w:lastColumn="0" w:noHBand="0" w:noVBand="1"/>
      </w:tblPr>
      <w:tblGrid>
        <w:gridCol w:w="1698"/>
        <w:gridCol w:w="2408"/>
        <w:gridCol w:w="4112"/>
        <w:gridCol w:w="6378"/>
      </w:tblGrid>
      <w:tr w:rsidR="00C92BDE">
        <w:tc>
          <w:tcPr>
            <w:tcW w:w="1697" w:type="dxa"/>
          </w:tcPr>
          <w:p w:rsidR="00C92BDE" w:rsidRDefault="005F47F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08" w:type="dxa"/>
          </w:tcPr>
          <w:p w:rsidR="00C92BDE" w:rsidRDefault="005F47F4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4112" w:type="dxa"/>
          </w:tcPr>
          <w:p w:rsidR="00C92BDE" w:rsidRDefault="005F47F4">
            <w:pPr>
              <w:pStyle w:val="aff6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378" w:type="dxa"/>
          </w:tcPr>
          <w:p w:rsidR="00C92BDE" w:rsidRDefault="005F47F4">
            <w:pPr>
              <w:pStyle w:val="aff6"/>
              <w:jc w:val="center"/>
              <w:rPr>
                <w:b/>
                <w:bCs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C92BDE">
        <w:trPr>
          <w:trHeight w:val="2025"/>
        </w:trPr>
        <w:tc>
          <w:tcPr>
            <w:tcW w:w="1697" w:type="dxa"/>
            <w:vMerge w:val="restart"/>
          </w:tcPr>
          <w:p w:rsidR="00C92BDE" w:rsidRDefault="005F47F4">
            <w:pPr>
              <w:jc w:val="both"/>
              <w:rPr>
                <w:szCs w:val="28"/>
              </w:rPr>
            </w:pPr>
            <w:r>
              <w:t>ОПК-2</w:t>
            </w:r>
          </w:p>
          <w:p w:rsidR="00C92BDE" w:rsidRDefault="005F47F4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  <w:p w:rsidR="00C92BDE" w:rsidRDefault="00C92BDE">
            <w:pPr>
              <w:jc w:val="both"/>
              <w:rPr>
                <w:bCs/>
              </w:rPr>
            </w:pPr>
          </w:p>
        </w:tc>
        <w:tc>
          <w:tcPr>
            <w:tcW w:w="2408" w:type="dxa"/>
          </w:tcPr>
          <w:p w:rsidR="00C92BDE" w:rsidRDefault="005F47F4">
            <w:pPr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color w:val="000000"/>
              </w:rPr>
              <w:t xml:space="preserve">1. Демонстрирует понимание экономической сущности хозяйственных операций и их влияние на эффективность деятельности экономического субъекта. </w:t>
            </w:r>
          </w:p>
        </w:tc>
        <w:tc>
          <w:tcPr>
            <w:tcW w:w="4112" w:type="dxa"/>
          </w:tcPr>
          <w:p w:rsidR="00C92BDE" w:rsidRDefault="005F47F4">
            <w:pPr>
              <w:jc w:val="both"/>
              <w:rPr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оценивать экономическую эффективность проводимых хозяйственных операций с помощью расчета ключевых показателей</w:t>
            </w:r>
          </w:p>
          <w:p w:rsidR="00C92BDE" w:rsidRDefault="005F47F4">
            <w:pPr>
              <w:jc w:val="both"/>
              <w:rPr>
                <w:szCs w:val="28"/>
              </w:rPr>
            </w:pPr>
            <w:r>
              <w:rPr>
                <w:b/>
                <w:bCs/>
              </w:rPr>
              <w:t>Знать:</w:t>
            </w:r>
            <w:r>
              <w:t xml:space="preserve"> виды хозяйственных операций, проводимых экономическими субъектами, основные экономические показатели, используемые для оценки эффективности хозяйственных операций</w:t>
            </w:r>
          </w:p>
          <w:p w:rsidR="00C92BDE" w:rsidRDefault="00C92BDE">
            <w:pPr>
              <w:tabs>
                <w:tab w:val="left" w:pos="3086"/>
              </w:tabs>
              <w:rPr>
                <w:szCs w:val="28"/>
              </w:rPr>
            </w:pPr>
          </w:p>
        </w:tc>
        <w:tc>
          <w:tcPr>
            <w:tcW w:w="6378" w:type="dxa"/>
          </w:tcPr>
          <w:p w:rsidR="00C92BDE" w:rsidRDefault="005F47F4">
            <w:pPr>
              <w:pStyle w:val="aff6"/>
              <w:spacing w:before="280" w:beforeAutospacing="0" w:after="280" w:afterAutospacing="0"/>
              <w:jc w:val="both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C92BDE" w:rsidRDefault="005F47F4">
            <w:pPr>
              <w:pStyle w:val="aff6"/>
              <w:jc w:val="both"/>
              <w:rPr>
                <w:szCs w:val="28"/>
              </w:rPr>
            </w:pPr>
            <w:r>
              <w:t>Бюджетным учреждением заключен договор на изготовление продукции на сумму 250 000,00 р., сумма оплаты поступила на лицевой счет учреждения, открытый в органе казначейства. Для выполнения работ были приобретены:</w:t>
            </w:r>
          </w:p>
          <w:p w:rsidR="00C92BDE" w:rsidRDefault="005F47F4">
            <w:pPr>
              <w:pStyle w:val="aff6"/>
              <w:jc w:val="both"/>
              <w:rPr>
                <w:szCs w:val="28"/>
              </w:rPr>
            </w:pPr>
            <w:r>
              <w:t>по безналичному расчету: производственный и хозяйственный инвентарь на сумму 15 458,00 р.; строительные материалы – на сумму 23 600,00 р.;</w:t>
            </w:r>
          </w:p>
          <w:p w:rsidR="00C92BDE" w:rsidRDefault="005F47F4">
            <w:pPr>
              <w:pStyle w:val="aff6"/>
              <w:jc w:val="both"/>
              <w:rPr>
                <w:szCs w:val="28"/>
              </w:rPr>
            </w:pPr>
            <w:r>
              <w:t>за наличный расчет: оплачены услуги по доставке строительных материалов в сумме 3 200,00 р.; оплачена услуга посредника в сумме 2 500,00 р.;</w:t>
            </w:r>
          </w:p>
          <w:p w:rsidR="00C92BDE" w:rsidRDefault="005F47F4">
            <w:pPr>
              <w:pStyle w:val="aff6"/>
              <w:spacing w:before="280" w:beforeAutospacing="0" w:after="280" w:afterAutospacing="0"/>
              <w:jc w:val="both"/>
              <w:rPr>
                <w:bCs/>
              </w:rPr>
            </w:pPr>
            <w:r>
              <w:t xml:space="preserve">Произведены расчеты с поставщиками и подрядчиками, с бюджетом. Определить систему бухгалтерских записей и документальное обеспечение. </w:t>
            </w:r>
          </w:p>
        </w:tc>
      </w:tr>
      <w:tr w:rsidR="00C92BDE">
        <w:trPr>
          <w:trHeight w:val="2025"/>
        </w:trPr>
        <w:tc>
          <w:tcPr>
            <w:tcW w:w="1697" w:type="dxa"/>
            <w:vMerge/>
          </w:tcPr>
          <w:p w:rsidR="00C92BDE" w:rsidRDefault="00C92BDE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</w:tcPr>
          <w:p w:rsidR="00C92BDE" w:rsidRDefault="005F47F4">
            <w:pPr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color w:val="000000"/>
              </w:rPr>
              <w:t xml:space="preserve">2. Использует необходимые источники учетной и </w:t>
            </w:r>
            <w:proofErr w:type="spellStart"/>
            <w:r>
              <w:rPr>
                <w:color w:val="000000"/>
              </w:rPr>
              <w:t>неучетной</w:t>
            </w:r>
            <w:proofErr w:type="spellEnd"/>
            <w:r>
              <w:rPr>
                <w:color w:val="000000"/>
              </w:rPr>
              <w:t xml:space="preserve"> информации в сфере профессиональной деятельности. </w:t>
            </w:r>
          </w:p>
        </w:tc>
        <w:tc>
          <w:tcPr>
            <w:tcW w:w="4112" w:type="dxa"/>
          </w:tcPr>
          <w:p w:rsidR="00C92BDE" w:rsidRDefault="005F47F4">
            <w:pPr>
              <w:jc w:val="both"/>
              <w:rPr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применять необходимые источники учетной и </w:t>
            </w:r>
            <w:proofErr w:type="spellStart"/>
            <w:r>
              <w:t>неучетной</w:t>
            </w:r>
            <w:proofErr w:type="spellEnd"/>
            <w:r>
              <w:t xml:space="preserve"> информации для выполнения профессиональных задач</w:t>
            </w:r>
          </w:p>
          <w:p w:rsidR="00C92BDE" w:rsidRDefault="005F47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  <w:r>
              <w:t xml:space="preserve"> основные источники учетной и </w:t>
            </w:r>
            <w:proofErr w:type="spellStart"/>
            <w:r>
              <w:t>неучетной</w:t>
            </w:r>
            <w:proofErr w:type="spellEnd"/>
            <w:r>
              <w:t xml:space="preserve"> информации, способы </w:t>
            </w:r>
            <w:r>
              <w:lastRenderedPageBreak/>
              <w:t>применения их в профессиональной деятельности</w:t>
            </w:r>
          </w:p>
        </w:tc>
        <w:tc>
          <w:tcPr>
            <w:tcW w:w="6378" w:type="dxa"/>
          </w:tcPr>
          <w:p w:rsidR="00C92BDE" w:rsidRDefault="005F47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C92BDE" w:rsidRDefault="005F47F4">
            <w:pPr>
              <w:jc w:val="both"/>
              <w:rPr>
                <w:szCs w:val="28"/>
              </w:rPr>
            </w:pPr>
            <w:r>
              <w:t>На основе действующих нормативно-правовых актов (стандартов СГС) разработать методические рекомендации об анализе денежных потоков и источников финансового обеспечения экономического субъекта.</w:t>
            </w:r>
          </w:p>
          <w:p w:rsidR="00C92BDE" w:rsidRDefault="005F47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C92BDE" w:rsidRDefault="005F47F4">
            <w:pPr>
              <w:jc w:val="both"/>
              <w:rPr>
                <w:color w:val="000000"/>
              </w:rPr>
            </w:pPr>
            <w:r>
              <w:lastRenderedPageBreak/>
              <w:t>На основе действующих нормативно-правовых актов разработать Положение о внутреннем контроле источников финансового обеспечения финансово-хозяйственной деятельности экономического субъекта.</w:t>
            </w:r>
          </w:p>
        </w:tc>
      </w:tr>
      <w:tr w:rsidR="00C92BDE">
        <w:trPr>
          <w:trHeight w:val="2025"/>
        </w:trPr>
        <w:tc>
          <w:tcPr>
            <w:tcW w:w="1697" w:type="dxa"/>
            <w:vMerge/>
          </w:tcPr>
          <w:p w:rsidR="00C92BDE" w:rsidRDefault="00C92BDE">
            <w:pPr>
              <w:jc w:val="both"/>
              <w:rPr>
                <w:szCs w:val="28"/>
              </w:rPr>
            </w:pPr>
          </w:p>
        </w:tc>
        <w:tc>
          <w:tcPr>
            <w:tcW w:w="2408" w:type="dxa"/>
          </w:tcPr>
          <w:p w:rsidR="00C92BDE" w:rsidRDefault="005F47F4">
            <w:pPr>
              <w:tabs>
                <w:tab w:val="left" w:pos="0"/>
              </w:tabs>
              <w:jc w:val="both"/>
              <w:rPr>
                <w:bCs/>
              </w:rPr>
            </w:pPr>
            <w:r>
              <w:t>3. 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4112" w:type="dxa"/>
          </w:tcPr>
          <w:p w:rsidR="00C92BDE" w:rsidRDefault="005F47F4">
            <w:pPr>
              <w:jc w:val="both"/>
              <w:rPr>
                <w:szCs w:val="28"/>
              </w:rPr>
            </w:pPr>
            <w:r>
              <w:rPr>
                <w:b/>
                <w:bCs/>
              </w:rPr>
              <w:t>Уметь:</w:t>
            </w:r>
            <w:r>
              <w:t xml:space="preserve"> разрабатывать и применять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  <w:p w:rsidR="00C92BDE" w:rsidRDefault="005F47F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  <w:r>
              <w:t xml:space="preserve"> принципы и методы оценки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</w:p>
        </w:tc>
        <w:tc>
          <w:tcPr>
            <w:tcW w:w="6378" w:type="dxa"/>
          </w:tcPr>
          <w:p w:rsidR="00C92BDE" w:rsidRDefault="005F47F4">
            <w:pPr>
              <w:pStyle w:val="aff6"/>
              <w:spacing w:before="280" w:beforeAutospacing="0" w:after="280" w:afterAutospacing="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color w:val="1D2228"/>
              </w:rPr>
            </w:pPr>
            <w:r>
              <w:rPr>
                <w:color w:val="1D2228"/>
              </w:rPr>
              <w:t xml:space="preserve">В Отчете об исполнении плана его финансово-хозяйственной деятельности (КФО-2) предусмотрены следующие показатели на 01.01.2023 г. </w:t>
            </w:r>
          </w:p>
          <w:p w:rsidR="00C92BDE" w:rsidRDefault="005F47F4">
            <w:pPr>
              <w:pStyle w:val="aff6"/>
              <w:shd w:val="clear" w:color="auto" w:fill="FFFFFF"/>
              <w:jc w:val="both"/>
              <w:rPr>
                <w:color w:val="1D2228"/>
              </w:rPr>
            </w:pPr>
            <w:r>
              <w:rPr>
                <w:i/>
                <w:iCs/>
                <w:color w:val="1D2228"/>
              </w:rPr>
              <w:t>Требуется</w:t>
            </w:r>
            <w:r>
              <w:rPr>
                <w:color w:val="1D2228"/>
              </w:rPr>
              <w:t>:</w:t>
            </w:r>
          </w:p>
          <w:p w:rsidR="00C92BDE" w:rsidRDefault="005F47F4">
            <w:pPr>
              <w:pStyle w:val="aff6"/>
              <w:numPr>
                <w:ilvl w:val="0"/>
                <w:numId w:val="7"/>
              </w:numPr>
              <w:shd w:val="clear" w:color="auto" w:fill="FFFFFF"/>
              <w:tabs>
                <w:tab w:val="left" w:pos="284"/>
              </w:tabs>
              <w:spacing w:before="280" w:beforeAutospacing="0" w:afterAutospacing="0"/>
              <w:ind w:left="0" w:firstLine="0"/>
              <w:jc w:val="both"/>
              <w:rPr>
                <w:color w:val="1D2228"/>
              </w:rPr>
            </w:pPr>
            <w:r>
              <w:rPr>
                <w:color w:val="1D2228"/>
              </w:rPr>
              <w:t>Проведите анализ расходов на фонд оплата труда бюджетного учреждения.</w:t>
            </w:r>
          </w:p>
          <w:p w:rsidR="00C92BDE" w:rsidRDefault="005F47F4">
            <w:pPr>
              <w:pStyle w:val="aff6"/>
              <w:numPr>
                <w:ilvl w:val="0"/>
                <w:numId w:val="7"/>
              </w:numPr>
              <w:shd w:val="clear" w:color="auto" w:fill="FFFFFF"/>
              <w:tabs>
                <w:tab w:val="left" w:pos="284"/>
              </w:tabs>
              <w:spacing w:beforeAutospacing="0" w:afterAutospacing="0"/>
              <w:ind w:left="0" w:firstLine="0"/>
              <w:jc w:val="both"/>
              <w:rPr>
                <w:color w:val="1D2228"/>
              </w:rPr>
            </w:pPr>
            <w:r>
              <w:rPr>
                <w:color w:val="1D2228"/>
              </w:rPr>
              <w:t>По результатам проведенного анализа сформулируйте выводы и контрольные процедуры.</w:t>
            </w:r>
          </w:p>
          <w:p w:rsidR="00C92BDE" w:rsidRDefault="005F47F4">
            <w:pPr>
              <w:pStyle w:val="aff6"/>
              <w:shd w:val="clear" w:color="auto" w:fill="FFFFFF"/>
              <w:jc w:val="center"/>
              <w:rPr>
                <w:i/>
                <w:iCs/>
                <w:color w:val="1D2228"/>
              </w:rPr>
            </w:pPr>
            <w:r>
              <w:rPr>
                <w:i/>
                <w:iCs/>
                <w:color w:val="1D2228"/>
              </w:rPr>
              <w:t>Отчет об исполнении учреждением плана его финансово-хозяйственной деятельности (КФО-2)</w:t>
            </w:r>
          </w:p>
          <w:tbl>
            <w:tblPr>
              <w:tblStyle w:val="34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592"/>
              <w:gridCol w:w="540"/>
              <w:gridCol w:w="992"/>
              <w:gridCol w:w="710"/>
              <w:gridCol w:w="737"/>
            </w:tblGrid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Код аналитики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Утверждено плановых назначений,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 xml:space="preserve">млн </w:t>
                  </w: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руб</w:t>
                  </w:r>
                  <w:proofErr w:type="spellEnd"/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Исполнено,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 xml:space="preserve">млн </w:t>
                  </w: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руб</w:t>
                  </w:r>
                  <w:proofErr w:type="spellEnd"/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Не исполнено плановых назначений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6162" w:type="dxa"/>
                  <w:gridSpan w:val="6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1. Доходы учреждения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Доходы - всего   </w:t>
                  </w:r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br/>
                    <w:t>(стр. 030 + стр. 040 + стр. 050 + стр. 060 + стр. 090 + стр. 100)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2 473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2 474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6162" w:type="dxa"/>
                  <w:gridSpan w:val="6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2. Расходы учреждения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lastRenderedPageBreak/>
                    <w:t>Расходы - всего (стр. 100 + стр. 200 + стр. 300 + стр. 400 + стр. 600 + стр. 800)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2 026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1 972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54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в том числе: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(стр. 110 + стр.130)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1 171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1 145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учреждений (стр. 111 + стр. 112 + стр. 113 + стр. 119)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1 171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1 145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Фонд оплаты труда учреждений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860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838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выплаты персоналу учреждений, за</w:t>
                  </w:r>
                  <w:r>
                    <w:rPr>
                      <w:sz w:val="16"/>
                      <w:szCs w:val="16"/>
                    </w:rPr>
                    <w:br/>
                    <w:t xml:space="preserve">   исключением фонда оплаты труда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112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Иные выплаты, за исключением фонда оплаты</w:t>
                  </w:r>
                  <w:r>
                    <w:rPr>
                      <w:sz w:val="16"/>
                      <w:szCs w:val="16"/>
                    </w:rPr>
                    <w:br/>
                    <w:t xml:space="preserve">   труда учреждений, лицам, привлекаемым</w:t>
                  </w:r>
                  <w:r>
                    <w:rPr>
                      <w:sz w:val="16"/>
                      <w:szCs w:val="16"/>
                    </w:rPr>
                    <w:br/>
                    <w:t xml:space="preserve">   согласно законодательству для выполнения</w:t>
                  </w:r>
                  <w:r>
                    <w:rPr>
                      <w:sz w:val="16"/>
                      <w:szCs w:val="16"/>
                    </w:rPr>
                    <w:br/>
                    <w:t xml:space="preserve">   отдельных полномочий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113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257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253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персоналу в сфере национальной безопасности, правоохранительной деятельности и обороны</w:t>
                  </w:r>
                  <w:r>
                    <w:rPr>
                      <w:sz w:val="16"/>
                      <w:szCs w:val="16"/>
                    </w:rPr>
                    <w:br/>
                    <w:t>(стр. 131 + стр. 133 + стр. 134 + стр. 139)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Денежное довольствие военнослужащих и сотрудников, имеющих специальные звания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131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на выплаты военнослужащим и сотрудникам, имеющим специальные звания, зависящие от размера денежного довольствия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133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Иные выплаты персоналу и сотрудникам, имеющим специальные звания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134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Взносы по обязательному социальному страхованию на выплаты по оплате труда (денежное содержание) гражданских лиц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139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Закупка товаров, работ и услуг для обеспечения государственных (муниципальных) нужд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>(стр. 220 + стр. 240)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797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786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Социальное обеспечение и иные выплаты населению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>(стр. 320 + стр. 340 + стр. 350 + стр. 360)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</w:t>
                  </w:r>
                </w:p>
              </w:tc>
            </w:tr>
            <w:tr w:rsidR="00C92BDE">
              <w:trPr>
                <w:trHeight w:val="20"/>
              </w:trPr>
              <w:tc>
                <w:tcPr>
                  <w:tcW w:w="2585" w:type="dxa"/>
                </w:tcPr>
                <w:p w:rsidR="00C92BDE" w:rsidRDefault="005F47F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Иные бюджетные ассигнования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br/>
                    <w:t>(стр. 810 + стр. 830 + стр. 850 + стр. 860)</w:t>
                  </w:r>
                </w:p>
              </w:tc>
              <w:tc>
                <w:tcPr>
                  <w:tcW w:w="593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41" w:type="dxa"/>
                </w:tcPr>
                <w:p w:rsidR="00C92BDE" w:rsidRDefault="005F47F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994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11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38" w:type="dxa"/>
                </w:tcPr>
                <w:p w:rsidR="00C92BDE" w:rsidRDefault="005F47F4">
                  <w:pPr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C92BDE" w:rsidRDefault="00C92BD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</w:tr>
    </w:tbl>
    <w:p w:rsidR="00C92BDE" w:rsidRDefault="00C92BDE">
      <w:pPr>
        <w:sectPr w:rsidR="00C92BDE">
          <w:footerReference w:type="default" r:id="rId9"/>
          <w:pgSz w:w="16838" w:h="11906" w:orient="landscape"/>
          <w:pgMar w:top="1418" w:right="1134" w:bottom="851" w:left="1134" w:header="0" w:footer="709" w:gutter="0"/>
          <w:pgNumType w:start="14"/>
          <w:cols w:space="720"/>
          <w:formProt w:val="0"/>
          <w:docGrid w:linePitch="360"/>
        </w:sectPr>
      </w:pPr>
    </w:p>
    <w:p w:rsidR="00C92BDE" w:rsidRDefault="005F47F4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29" w:name="_Toc529894759"/>
      <w:bookmarkStart w:id="30" w:name="_Toc34227948"/>
      <w:r>
        <w:rPr>
          <w:i/>
          <w:szCs w:val="28"/>
        </w:rPr>
        <w:lastRenderedPageBreak/>
        <w:t xml:space="preserve">Примерный перечень вопросов для подготовки к </w:t>
      </w:r>
      <w:bookmarkEnd w:id="29"/>
      <w:r w:rsidR="00A23949">
        <w:rPr>
          <w:i/>
          <w:szCs w:val="28"/>
        </w:rPr>
        <w:t>зачету/</w:t>
      </w:r>
      <w:bookmarkStart w:id="31" w:name="_GoBack"/>
      <w:bookmarkEnd w:id="31"/>
      <w:r>
        <w:rPr>
          <w:i/>
          <w:szCs w:val="28"/>
        </w:rPr>
        <w:t>экзамену</w:t>
      </w:r>
      <w:bookmarkEnd w:id="30"/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Нормативное регулирование бухгалтерского (бюджетного) учета организаций государственного сектора.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Учетная политика организаций бюджетной сферы.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СГС «Основные средства»: категориальный аппарат, признание (принятие к бухгалтерскому учету) объектов основных средств, оценка объектов основных средств при их признании (принятию к бухгалтерскому учету), последующая оценка объектов основных средств, амортизация объекта основных средств, обесценение объекта основных средств, прекращение признания (выбытие с бухгалтерского учета) объекта основных средств, раскрытие информации об основных средствах (результатах операций с ними)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СГС «Нематериальные активы»: термины и определения, признание (принятие к бухгалтерскому учету) объектов нематериальных активов, оценка объектов нематериальных активов при их признании (принятию к бухгалтерскому учету), первоначальная стоимость объектов нематериальных активов, приобретенных в результате обменных операций, первоначальная стоимость объектов нематериальных активов, приобретенных в результате необменных операций, первоначальная стоимость объектов нематериальных активов, созданных собственными силами, последующая оценка объектов нематериальных активов, амортизация объектов нематериальных активов, обесценение объектов нематериальных активов, прекращение признания (выбытие с бухгалтерского учета) объекта нематериальных активов, раскрытие информации об объектах нематериальных активов (результатах операций с ними) в бухгалтерской (финансовой) отчетности. 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СГС «Обесценение активов»:</w:t>
      </w:r>
      <w:r>
        <w:t xml:space="preserve"> т</w:t>
      </w:r>
      <w:r>
        <w:rPr>
          <w:sz w:val="28"/>
          <w:szCs w:val="28"/>
        </w:rPr>
        <w:t xml:space="preserve">ермины и их определения, выявление признаков обесценения актива, классификация таких признаков и их состав, признание убытка от обесценения актива в бухгалтерском учете, выявление признаков снижения убытка от обесценения актива, классификация таких признаков, их состав и восстановление убытка от обесценения актива в </w:t>
      </w:r>
      <w:r>
        <w:rPr>
          <w:sz w:val="28"/>
          <w:szCs w:val="28"/>
        </w:rPr>
        <w:lastRenderedPageBreak/>
        <w:t xml:space="preserve">бухгалтерском учете, </w:t>
      </w:r>
      <w:proofErr w:type="spellStart"/>
      <w:r>
        <w:rPr>
          <w:sz w:val="28"/>
          <w:szCs w:val="28"/>
        </w:rPr>
        <w:t>реклассификация</w:t>
      </w:r>
      <w:proofErr w:type="spellEnd"/>
      <w:r>
        <w:rPr>
          <w:sz w:val="28"/>
          <w:szCs w:val="28"/>
        </w:rPr>
        <w:t xml:space="preserve"> активов для целей обесценения, информация, раскрываемая в бухгалтерской (финансовой) отчетности в результате признания (восстановления) убытков от обесценения актива.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СГС «Непроизведенные активы»: термины и их определения, признание (принятие к бухгалтерскому учету) объектов непроизведенных активов, оценка объектов непроизведенных активов при их признании (принятии к бухгалтерскому учету), последующая оценка объектов непроизведенных активов, обесценение объектов непроизведенных активов, прекращение признания (выбытие с бухгалтерского учета) объектов непроизведенных активов, раскрытие информации о непроизведенных активах (результатах операций с ними)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СГС «Запасы»:</w:t>
      </w:r>
      <w:r>
        <w:t xml:space="preserve"> </w:t>
      </w:r>
      <w:r>
        <w:rPr>
          <w:sz w:val="28"/>
          <w:szCs w:val="28"/>
        </w:rPr>
        <w:t>термины и их определения, признание (принятие к бухгалтерскому учету) запасов, оценка запасов при их признании (принятии к бухгалтерскому учету), последующая оценка запасов, прекращение признания (выбытие с бухгалтерского учета) запасов, методы оценки запасов при выбытии, раскрытие информации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СГС «Финансовые инструменты»: термины и их определения, признание (принятие к бухгалтерскому учету) финансовых активов, </w:t>
      </w:r>
      <w:proofErr w:type="spellStart"/>
      <w:r>
        <w:rPr>
          <w:sz w:val="28"/>
          <w:szCs w:val="28"/>
        </w:rPr>
        <w:t>реклассификация</w:t>
      </w:r>
      <w:proofErr w:type="spellEnd"/>
      <w:r>
        <w:rPr>
          <w:sz w:val="28"/>
          <w:szCs w:val="28"/>
        </w:rPr>
        <w:t xml:space="preserve"> финансовых активов, обесценение финансовых активов, прекращение признания (выбытие с бухгалтерского учета) финансовых активов, признание (принятие к бухгалтерскому учету) финансовых обязательств, прекращение признания (выбытие с бухгалтерского учета) финансовых обязательств, раскрытие информации о финансовых активах и финансовых обязательствах (финансовых результатах операций с финансовыми инструментами)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СГС «Доходы»: термины и их определения, признание и оценка доходов, признание (принятие к бухгалтерскому учету) доходов от необменных операций, признание (принятие к бухгалтерскому учету) доходов от обменных операций, раскрытие информации о доходах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СГС</w:t>
      </w:r>
      <w:r>
        <w:rPr>
          <w:color w:val="000000"/>
          <w:sz w:val="28"/>
          <w:szCs w:val="28"/>
        </w:rPr>
        <w:t xml:space="preserve"> «Резервы. Раскрытие информации об условных обязательствах и условных активах»: термины и определения, признание резервов, оценка резервов при признании, последующая оценка резервов, раскрытие информации о резервах, раскрытие информации об условных обязательствах и условных активах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СГС</w:t>
      </w:r>
      <w:r>
        <w:rPr>
          <w:bCs/>
          <w:sz w:val="28"/>
          <w:szCs w:val="28"/>
        </w:rPr>
        <w:t xml:space="preserve"> «Представление бухгалтерской (финансовой) отчетности»: термины и их определения, общие требования к бухгалтерской (финансовой) отчетности, состав и содержание показателей бухгалтерской (финансовой) отчетности, подлежащих публичному раскрытию.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СГС «Государственная (муниципальная) казна»: термины и их определения, признание (принятие к бюджетному учету) и оценка нефинансовых активов имущества казны, </w:t>
      </w:r>
      <w:proofErr w:type="spellStart"/>
      <w:r>
        <w:rPr>
          <w:bCs/>
          <w:sz w:val="28"/>
          <w:szCs w:val="28"/>
        </w:rPr>
        <w:t>реклассификация</w:t>
      </w:r>
      <w:proofErr w:type="spellEnd"/>
      <w:r>
        <w:rPr>
          <w:bCs/>
          <w:sz w:val="28"/>
          <w:szCs w:val="28"/>
        </w:rPr>
        <w:t xml:space="preserve"> нефинансовых активов имущества казны, переоценка стоимости нефинансовых активов имущества казны, амортизация нефинансовых активов имущества казны, прекращение признания (выбытие с бюджетного учета) нефинансовых активов имущества казны, методы оценки нефинансовых активов имущества казны, раскрытие информации о нефинансовых активах имущества казны в бюджетной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СГС «Выплаты персоналу»: термины и их определения, признание (принятие к бухгалтерскому учету) и оценка при признании объектов учета выплат персоналу, последующая оценка объектов учета выплат персоналу, прекращение признания (выбытие с бухгалтерского учета) объектов учета выплат персоналу, раскрытие информации об объектах учета выплат персоналу (результатах операций с ними) в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СГС «Долгосрочные договоры»: признание доходов и расходов по долгосрочным договорам строительного подряда, признание доходов и расходов по иным долгосрочным договорам, раскрытие информации в Пояснениях к бухгалтерской (финансовой) отчетности.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СГС «Информация о связанных сторонах»: термины и их определения, формирование информации о связанных сторонах, раскрытие информации о связанных сторонах.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Бюджетная отчетность - источник информации о финансовом положении экономического субъекта. 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bCs/>
          <w:iCs/>
          <w:kern w:val="2"/>
          <w:sz w:val="28"/>
          <w:szCs w:val="28"/>
        </w:rPr>
        <w:t xml:space="preserve">Анализ динамики и структуры имущества </w:t>
      </w:r>
      <w:r>
        <w:rPr>
          <w:iCs/>
          <w:sz w:val="28"/>
          <w:szCs w:val="28"/>
        </w:rPr>
        <w:t>организаций государственного сектора</w:t>
      </w:r>
      <w:r>
        <w:rPr>
          <w:rFonts w:eastAsiaTheme="minorEastAsia"/>
          <w:bCs/>
          <w:iCs/>
          <w:kern w:val="2"/>
          <w:sz w:val="28"/>
          <w:szCs w:val="28"/>
        </w:rPr>
        <w:t xml:space="preserve">: основные средства, нематериальные активы, материальные запасы, непроизведенные активы. 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rFonts w:eastAsiaTheme="minorEastAsia"/>
          <w:bCs/>
          <w:iCs/>
          <w:kern w:val="2"/>
          <w:sz w:val="28"/>
          <w:szCs w:val="28"/>
        </w:rPr>
        <w:t xml:space="preserve">Результативность финансово-хозяйственной деятельности </w:t>
      </w:r>
      <w:r>
        <w:rPr>
          <w:iCs/>
          <w:sz w:val="28"/>
          <w:szCs w:val="28"/>
        </w:rPr>
        <w:t>организаций государственного сектора</w:t>
      </w:r>
      <w:r>
        <w:rPr>
          <w:rFonts w:eastAsiaTheme="minorEastAsia"/>
          <w:bCs/>
          <w:iCs/>
          <w:kern w:val="2"/>
          <w:sz w:val="28"/>
          <w:szCs w:val="28"/>
        </w:rPr>
        <w:t>: анализ эффективности использования имущества, анализ результатов финансово-хозяйственной деятельности по источникам финансового обеспечения.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Анализ дебиторской и кредиторской задолженности. Анализ бюджетных, денежных обязательств (принимаемых, принятых, исполненных).</w:t>
      </w:r>
    </w:p>
    <w:p w:rsidR="00C92BDE" w:rsidRDefault="005F47F4">
      <w:pPr>
        <w:widowControl w:val="0"/>
        <w:numPr>
          <w:ilvl w:val="0"/>
          <w:numId w:val="5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Анализ правильности определения размера финансового обеспечения бюджетных учреждений: </w:t>
      </w:r>
      <w:r>
        <w:rPr>
          <w:sz w:val="28"/>
          <w:szCs w:val="28"/>
        </w:rPr>
        <w:t>объем субсидии на исполнение государственного (муниципального) задания, полученной учреждением в отчетном периоде, объем субсидий на иные цели, на капитальные вложения и произведенные за их счет расходы.</w:t>
      </w:r>
    </w:p>
    <w:p w:rsidR="00C92BDE" w:rsidRDefault="00C92BDE">
      <w:pPr>
        <w:ind w:left="360"/>
        <w:rPr>
          <w:b/>
        </w:rPr>
      </w:pPr>
    </w:p>
    <w:p w:rsidR="00C92BDE" w:rsidRDefault="005F47F4">
      <w:pPr>
        <w:ind w:left="36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C92BDE" w:rsidRDefault="005F47F4">
      <w:pPr>
        <w:ind w:left="360"/>
        <w:jc w:val="center"/>
        <w:rPr>
          <w:b/>
        </w:rPr>
      </w:pPr>
      <w:r>
        <w:rPr>
          <w:b/>
        </w:rPr>
        <w:t>высшего образования</w:t>
      </w:r>
    </w:p>
    <w:p w:rsidR="00C92BDE" w:rsidRDefault="005F47F4">
      <w:pPr>
        <w:ind w:left="360"/>
        <w:jc w:val="center"/>
        <w:rPr>
          <w:b/>
        </w:rPr>
      </w:pPr>
      <w:r>
        <w:rPr>
          <w:b/>
        </w:rPr>
        <w:t>«ФИНАНСОВЫЙ УНИВЕРСИТЕТ ПРИ ПРАВИТЕЛЬСТВЕ</w:t>
      </w:r>
    </w:p>
    <w:p w:rsidR="00C92BDE" w:rsidRDefault="005F47F4">
      <w:pPr>
        <w:ind w:left="360"/>
        <w:jc w:val="center"/>
        <w:rPr>
          <w:b/>
        </w:rPr>
      </w:pPr>
      <w:r>
        <w:rPr>
          <w:b/>
        </w:rPr>
        <w:t>РОССИЙСКОЙ ФЕДЕРАЦИИ»</w:t>
      </w:r>
    </w:p>
    <w:p w:rsidR="00C92BDE" w:rsidRDefault="005F47F4">
      <w:pPr>
        <w:ind w:left="360"/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:rsidR="00C92BDE" w:rsidRDefault="00C92BDE">
      <w:pPr>
        <w:ind w:left="360"/>
        <w:jc w:val="both"/>
        <w:rPr>
          <w:b/>
          <w:lang w:eastAsia="en-US"/>
        </w:rPr>
      </w:pP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>Кафедра «Финансовый контроль и казначейское дело»</w:t>
      </w: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 xml:space="preserve">Дисциплина </w:t>
      </w:r>
      <w:r>
        <w:rPr>
          <w:u w:val="single"/>
          <w:lang w:eastAsia="en-US"/>
        </w:rPr>
        <w:t>«Учетно-аналитические технологии в секторе государственного управления» секторе»</w:t>
      </w:r>
    </w:p>
    <w:p w:rsidR="00C92BDE" w:rsidRDefault="005F47F4">
      <w:pPr>
        <w:jc w:val="both"/>
        <w:rPr>
          <w:u w:val="single"/>
          <w:lang w:eastAsia="en-US"/>
        </w:rPr>
      </w:pPr>
      <w:r>
        <w:rPr>
          <w:u w:val="single"/>
          <w:lang w:eastAsia="en-US"/>
        </w:rPr>
        <w:t>Финансовый факультет</w:t>
      </w: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 xml:space="preserve">Форма обучения </w:t>
      </w:r>
      <w:r>
        <w:rPr>
          <w:u w:val="single"/>
          <w:lang w:eastAsia="en-US"/>
        </w:rPr>
        <w:t>очная</w:t>
      </w: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>Модуль 3</w:t>
      </w: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 xml:space="preserve">Направление </w:t>
      </w:r>
      <w:r>
        <w:rPr>
          <w:u w:val="single"/>
          <w:lang w:eastAsia="en-US"/>
        </w:rPr>
        <w:t>«Экономика»</w:t>
      </w:r>
    </w:p>
    <w:p w:rsidR="00C92BDE" w:rsidRDefault="005F47F4">
      <w:pPr>
        <w:jc w:val="both"/>
        <w:rPr>
          <w:lang w:eastAsia="en-US"/>
        </w:rPr>
      </w:pPr>
      <w:r>
        <w:rPr>
          <w:lang w:eastAsia="en-US"/>
        </w:rPr>
        <w:t xml:space="preserve">Программа </w:t>
      </w:r>
      <w:r>
        <w:rPr>
          <w:u w:val="single"/>
          <w:lang w:eastAsia="en-US"/>
        </w:rPr>
        <w:t>«Прикладные технологии внешнего государственного аудита»</w:t>
      </w:r>
    </w:p>
    <w:p w:rsidR="00C92BDE" w:rsidRDefault="00C92BDE">
      <w:pPr>
        <w:ind w:left="360"/>
        <w:jc w:val="both"/>
        <w:rPr>
          <w:lang w:eastAsia="en-US"/>
        </w:rPr>
      </w:pPr>
    </w:p>
    <w:p w:rsidR="00C92BDE" w:rsidRDefault="005F47F4">
      <w:pPr>
        <w:pStyle w:val="affa"/>
        <w:jc w:val="center"/>
        <w:rPr>
          <w:b/>
          <w:lang w:eastAsia="en-US"/>
        </w:rPr>
      </w:pPr>
      <w:r>
        <w:rPr>
          <w:b/>
          <w:lang w:eastAsia="en-US"/>
        </w:rPr>
        <w:t>ЭКЗАМЕНАЦИОННЫЙ БИЛЕТ</w:t>
      </w:r>
    </w:p>
    <w:p w:rsidR="00C92BDE" w:rsidRDefault="00C92BDE">
      <w:pPr>
        <w:ind w:left="360"/>
        <w:jc w:val="both"/>
        <w:rPr>
          <w:b/>
          <w:lang w:eastAsia="en-US"/>
        </w:rPr>
      </w:pPr>
    </w:p>
    <w:p w:rsidR="00C92BDE" w:rsidRDefault="005F47F4">
      <w:pPr>
        <w:jc w:val="both"/>
        <w:rPr>
          <w:b/>
          <w:lang w:eastAsia="en-US"/>
        </w:rPr>
      </w:pPr>
      <w:r>
        <w:rPr>
          <w:b/>
          <w:lang w:eastAsia="en-US"/>
        </w:rPr>
        <w:t>Задание 1. Дайте развернутый ответ на теоретический вопрос. (20 баллов)</w:t>
      </w:r>
    </w:p>
    <w:p w:rsidR="00C92BDE" w:rsidRDefault="005F47F4">
      <w:pPr>
        <w:jc w:val="both"/>
        <w:rPr>
          <w:i/>
          <w:szCs w:val="28"/>
        </w:rPr>
      </w:pPr>
      <w:r>
        <w:t xml:space="preserve">Укажите </w:t>
      </w:r>
      <w:r>
        <w:rPr>
          <w:lang w:eastAsia="en-US"/>
        </w:rPr>
        <w:t>термины и их определения</w:t>
      </w:r>
      <w:r>
        <w:t xml:space="preserve"> по СГС «Резервы. Информации об условных обязательствах и условных активах»: термины и определения, признание резервов, оценка резервов при признании, последующая оценка резервов, раскрытие информации о резервах, раскрытие информации об условных обязательствах и условных активах в бухгалтерской (финансовой) отчетности.</w:t>
      </w:r>
    </w:p>
    <w:p w:rsidR="00C92BDE" w:rsidRDefault="005F47F4">
      <w:pPr>
        <w:jc w:val="both"/>
        <w:rPr>
          <w:b/>
        </w:rPr>
      </w:pPr>
      <w:r>
        <w:rPr>
          <w:b/>
        </w:rPr>
        <w:lastRenderedPageBreak/>
        <w:t>Задание 2. Практико-ориентированное задание. (20 баллов)</w:t>
      </w:r>
    </w:p>
    <w:p w:rsidR="00C92BDE" w:rsidRDefault="005F47F4">
      <w:pPr>
        <w:jc w:val="both"/>
        <w:rPr>
          <w:b/>
        </w:rPr>
      </w:pPr>
      <w:r>
        <w:rPr>
          <w:b/>
          <w:lang w:eastAsia="en-US"/>
        </w:rPr>
        <w:t>Задание.</w:t>
      </w:r>
    </w:p>
    <w:p w:rsidR="00C92BDE" w:rsidRDefault="005F47F4">
      <w:pPr>
        <w:jc w:val="both"/>
        <w:rPr>
          <w:i/>
          <w:szCs w:val="28"/>
        </w:rPr>
      </w:pPr>
      <w:r>
        <w:t>Укажите аналитические показатели, на основании которых проводится анализ экономического потенциала бюджетного учреждения. Приведите алгоритм проведения анализа имущественного потенциала экономического субъекта.</w:t>
      </w:r>
    </w:p>
    <w:p w:rsidR="00C92BDE" w:rsidRDefault="00C92BDE">
      <w:pPr>
        <w:ind w:left="360"/>
        <w:jc w:val="both"/>
        <w:rPr>
          <w:b/>
        </w:rPr>
      </w:pPr>
    </w:p>
    <w:p w:rsidR="00C92BDE" w:rsidRDefault="005F47F4">
      <w:pPr>
        <w:jc w:val="both"/>
        <w:rPr>
          <w:b/>
        </w:rPr>
      </w:pPr>
      <w:r>
        <w:rPr>
          <w:b/>
        </w:rPr>
        <w:t>Задание 3. Практико-ориентированное задание. (20 баллов)</w:t>
      </w:r>
    </w:p>
    <w:p w:rsidR="00C92BDE" w:rsidRDefault="005F47F4">
      <w:pPr>
        <w:jc w:val="both"/>
        <w:rPr>
          <w:b/>
          <w:lang w:eastAsia="en-US"/>
        </w:rPr>
      </w:pPr>
      <w:r>
        <w:rPr>
          <w:b/>
          <w:lang w:eastAsia="en-US"/>
        </w:rPr>
        <w:t>Задача.</w:t>
      </w:r>
    </w:p>
    <w:p w:rsidR="00C92BDE" w:rsidRDefault="005F47F4">
      <w:pPr>
        <w:widowControl w:val="0"/>
        <w:jc w:val="both"/>
        <w:rPr>
          <w:i/>
          <w:szCs w:val="28"/>
        </w:rPr>
      </w:pPr>
      <w:r>
        <w:t xml:space="preserve">Казенное учреждение приобрело оборудование на сумму 120 000 руб. Транспортной организации оплачены расходы на доставку оборудования учреждению в сумме 4500 руб. Учреждение при формировании первоначальной стоимости основного средства не включило в нее затраты по его транспортировке. Они учтены в составе расходов учреждения. </w:t>
      </w:r>
    </w:p>
    <w:tbl>
      <w:tblPr>
        <w:tblStyle w:val="1a"/>
        <w:tblW w:w="9634" w:type="dxa"/>
        <w:tblLayout w:type="fixed"/>
        <w:tblLook w:val="0000" w:firstRow="0" w:lastRow="0" w:firstColumn="0" w:lastColumn="0" w:noHBand="0" w:noVBand="0"/>
      </w:tblPr>
      <w:tblGrid>
        <w:gridCol w:w="5665"/>
        <w:gridCol w:w="1278"/>
        <w:gridCol w:w="1418"/>
        <w:gridCol w:w="1273"/>
      </w:tblGrid>
      <w:tr w:rsidR="00C92BDE">
        <w:tc>
          <w:tcPr>
            <w:tcW w:w="5664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операции</w:t>
            </w:r>
          </w:p>
        </w:tc>
        <w:tc>
          <w:tcPr>
            <w:tcW w:w="127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Дебет</w:t>
            </w:r>
          </w:p>
        </w:tc>
        <w:tc>
          <w:tcPr>
            <w:tcW w:w="141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</w:t>
            </w:r>
          </w:p>
        </w:tc>
        <w:tc>
          <w:tcPr>
            <w:tcW w:w="1273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руб.</w:t>
            </w:r>
          </w:p>
        </w:tc>
      </w:tr>
      <w:tr w:rsidR="00C92BDE">
        <w:tc>
          <w:tcPr>
            <w:tcW w:w="9633" w:type="dxa"/>
            <w:gridSpan w:val="4"/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Операции, отраженные учреждением</w:t>
            </w:r>
          </w:p>
        </w:tc>
      </w:tr>
      <w:tr w:rsidR="00C92BDE">
        <w:tc>
          <w:tcPr>
            <w:tcW w:w="5664" w:type="dxa"/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Сформирована первоначальная стоимость оборудования</w:t>
            </w:r>
          </w:p>
        </w:tc>
        <w:tc>
          <w:tcPr>
            <w:tcW w:w="127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1 106 31 310</w:t>
            </w:r>
          </w:p>
        </w:tc>
        <w:tc>
          <w:tcPr>
            <w:tcW w:w="141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1 302 31 730</w:t>
            </w:r>
          </w:p>
        </w:tc>
        <w:tc>
          <w:tcPr>
            <w:tcW w:w="1273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</w:t>
            </w:r>
          </w:p>
        </w:tc>
      </w:tr>
      <w:tr w:rsidR="00C92BDE">
        <w:tc>
          <w:tcPr>
            <w:tcW w:w="5664" w:type="dxa"/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 к учету оборудование по сформированной первоначальной стоимости</w:t>
            </w:r>
          </w:p>
        </w:tc>
        <w:tc>
          <w:tcPr>
            <w:tcW w:w="127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1 101 34 310</w:t>
            </w:r>
          </w:p>
        </w:tc>
        <w:tc>
          <w:tcPr>
            <w:tcW w:w="141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1 106 31 310</w:t>
            </w:r>
          </w:p>
        </w:tc>
        <w:tc>
          <w:tcPr>
            <w:tcW w:w="1273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120 000</w:t>
            </w:r>
          </w:p>
        </w:tc>
      </w:tr>
      <w:tr w:rsidR="00C92BDE">
        <w:tc>
          <w:tcPr>
            <w:tcW w:w="5664" w:type="dxa"/>
          </w:tcPr>
          <w:p w:rsidR="00C92BDE" w:rsidRDefault="005F47F4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Учтены в составе расходов учреждения затраты на доставку оборудования</w:t>
            </w:r>
          </w:p>
        </w:tc>
        <w:tc>
          <w:tcPr>
            <w:tcW w:w="127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1 401 20 222</w:t>
            </w:r>
          </w:p>
        </w:tc>
        <w:tc>
          <w:tcPr>
            <w:tcW w:w="1418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1 302 22 730</w:t>
            </w:r>
          </w:p>
        </w:tc>
        <w:tc>
          <w:tcPr>
            <w:tcW w:w="1273" w:type="dxa"/>
          </w:tcPr>
          <w:p w:rsidR="00C92BDE" w:rsidRDefault="005F47F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</w:tr>
    </w:tbl>
    <w:p w:rsidR="00C92BDE" w:rsidRDefault="005F47F4">
      <w:pPr>
        <w:ind w:left="360"/>
        <w:jc w:val="both"/>
        <w:rPr>
          <w:i/>
          <w:szCs w:val="28"/>
        </w:rPr>
      </w:pPr>
      <w:r>
        <w:rPr>
          <w:rFonts w:eastAsia="Arial"/>
          <w:i/>
          <w:iCs/>
        </w:rPr>
        <w:t xml:space="preserve">Требуется: </w:t>
      </w:r>
      <w:r>
        <w:rPr>
          <w:rFonts w:eastAsia="Arial"/>
        </w:rPr>
        <w:t>п</w:t>
      </w:r>
      <w:r>
        <w:t>роизвести корректировочные записи в бюджетном учете учреждения.</w:t>
      </w:r>
    </w:p>
    <w:p w:rsidR="00C92BDE" w:rsidRDefault="00C92BDE">
      <w:pPr>
        <w:ind w:left="360"/>
        <w:jc w:val="both"/>
        <w:rPr>
          <w:i/>
          <w:szCs w:val="28"/>
        </w:rPr>
      </w:pPr>
    </w:p>
    <w:p w:rsidR="00C92BDE" w:rsidRDefault="00C92BDE">
      <w:pPr>
        <w:ind w:left="360"/>
        <w:jc w:val="both"/>
        <w:rPr>
          <w:i/>
          <w:szCs w:val="28"/>
        </w:rPr>
      </w:pPr>
      <w:bookmarkStart w:id="32" w:name="_Toc326701981"/>
      <w:bookmarkStart w:id="33" w:name="_Toc324441761"/>
      <w:bookmarkStart w:id="34" w:name="_Toc34227949"/>
      <w:bookmarkEnd w:id="32"/>
      <w:bookmarkEnd w:id="33"/>
      <w:bookmarkEnd w:id="34"/>
    </w:p>
    <w:p w:rsidR="00C92BDE" w:rsidRDefault="005F47F4">
      <w:pPr>
        <w:pStyle w:val="Default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C92BDE" w:rsidRDefault="00C92BDE">
      <w:pPr>
        <w:pStyle w:val="Default"/>
        <w:spacing w:line="276" w:lineRule="auto"/>
        <w:ind w:firstLine="709"/>
        <w:rPr>
          <w:rFonts w:ascii="Times New Roman" w:hAnsi="Times New Roman" w:cs="Times New Roman"/>
          <w:b/>
          <w:bCs/>
          <w:sz w:val="14"/>
          <w:szCs w:val="28"/>
        </w:rPr>
      </w:pPr>
    </w:p>
    <w:p w:rsidR="00C92BDE" w:rsidRDefault="005F47F4">
      <w:pPr>
        <w:pStyle w:val="Default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Нормативно-правовые акты </w:t>
      </w:r>
    </w:p>
    <w:p w:rsidR="00881F5F" w:rsidRPr="00881F5F" w:rsidRDefault="00881F5F" w:rsidP="00881F5F">
      <w:pPr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0"/>
          <w:szCs w:val="20"/>
          <w:lang w:eastAsia="zh-CN"/>
        </w:rPr>
      </w:pPr>
      <w:r w:rsidRPr="00881F5F">
        <w:rPr>
          <w:rFonts w:eastAsia="Calibri"/>
          <w:sz w:val="28"/>
          <w:szCs w:val="28"/>
          <w:lang w:eastAsia="en-US"/>
        </w:rPr>
        <w:t>Гражданский кодекс Российской Федерации (часть вторая) от 26.01.1996</w:t>
      </w:r>
      <w:r w:rsidRPr="00881F5F">
        <w:rPr>
          <w:rFonts w:eastAsia="Calibri"/>
          <w:sz w:val="28"/>
          <w:szCs w:val="28"/>
          <w:shd w:val="clear" w:color="auto" w:fill="FFFFFF"/>
          <w:lang w:eastAsia="en-US"/>
        </w:rPr>
        <w:t xml:space="preserve"> № 14-ФЗ </w:t>
      </w:r>
    </w:p>
    <w:p w:rsidR="00C92BDE" w:rsidRPr="00881F5F" w:rsidRDefault="005F47F4" w:rsidP="00881F5F">
      <w:pPr>
        <w:pStyle w:val="affa"/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hanging="11"/>
        <w:jc w:val="both"/>
        <w:rPr>
          <w:i/>
          <w:szCs w:val="28"/>
        </w:rPr>
      </w:pPr>
      <w:r w:rsidRPr="00881F5F">
        <w:rPr>
          <w:sz w:val="28"/>
          <w:szCs w:val="28"/>
        </w:rPr>
        <w:t xml:space="preserve">Федеральный закон от 6.12.2011 г. №402-ФЗ «О бухгалтерском учете» 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31.12.2016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27.02.2018 г. № 32н «Об утверждении федерального стандарта бухгалтерского учета для организаций государственного сектора «Доходы»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30.12.2017 г.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30.12.2017 г. № 275н «Об утверждении федерального стандарта бухгалтерского учета для организаций государственного сектора «События после отчетной даты»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lastRenderedPageBreak/>
        <w:t>Приказ Минфина России от 30.12.2017 г. № 278н «Об утверждении федерального стандарта бухгалтерского учета для организаций государственного сектора «Отчет о движении денежных средств»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31.12.2016 г.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</w:t>
      </w:r>
    </w:p>
    <w:p w:rsidR="00C92BDE" w:rsidRDefault="005F47F4" w:rsidP="00881F5F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</w:t>
      </w:r>
    </w:p>
    <w:p w:rsidR="00C92BDE" w:rsidRDefault="005F47F4" w:rsidP="00881F5F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15.11.2019 №181 н «Об утверждении федерального стандарта бухгалтерского учета для организаций государственного сектора «Нематериальные активы»</w:t>
      </w:r>
    </w:p>
    <w:p w:rsidR="00C92BDE" w:rsidRDefault="005F47F4" w:rsidP="00881F5F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 xml:space="preserve"> 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</w:t>
      </w:r>
    </w:p>
    <w:p w:rsidR="00C92BDE" w:rsidRDefault="005F47F4" w:rsidP="00881F5F">
      <w:pPr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28.02.2018 № 34н «Об утверждении федерального стандарта бухгалтерского учета для организаций государственного сектора «Непроизведенные активы»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</w:p>
    <w:p w:rsidR="00C92BDE" w:rsidRDefault="005F47F4" w:rsidP="00881F5F">
      <w:pPr>
        <w:pStyle w:val="affa"/>
        <w:widowControl w:val="0"/>
        <w:numPr>
          <w:ilvl w:val="0"/>
          <w:numId w:val="9"/>
        </w:numPr>
        <w:tabs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sz w:val="28"/>
          <w:szCs w:val="28"/>
        </w:rPr>
        <w:t>Приказ Минфина России от 25.03.2011 г. №33н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</w:p>
    <w:p w:rsidR="00C92BDE" w:rsidRDefault="005F47F4">
      <w:pPr>
        <w:pStyle w:val="affa"/>
        <w:widowControl w:val="0"/>
        <w:tabs>
          <w:tab w:val="left" w:pos="567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b/>
          <w:bCs/>
          <w:sz w:val="28"/>
          <w:szCs w:val="28"/>
        </w:rPr>
        <w:t xml:space="preserve">Основная литература 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Маслова, Т. С. Казенные учреждения: бюджетный учет и </w:t>
      </w:r>
      <w:proofErr w:type="gramStart"/>
      <w:r>
        <w:rPr>
          <w:sz w:val="28"/>
          <w:szCs w:val="28"/>
        </w:rPr>
        <w:t>отчетность :</w:t>
      </w:r>
      <w:proofErr w:type="gramEnd"/>
      <w:r>
        <w:rPr>
          <w:sz w:val="28"/>
          <w:szCs w:val="28"/>
        </w:rPr>
        <w:t xml:space="preserve"> учебник / Т. С. Маслова, Т. А. Журавлёва ; под ред. Т. С. Масловой.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Магистр : ИНФРА-М, 2023. — 648 c. — ISBN 978-5-9776-0552-6.  —  ЭБС ZNANIUM.COM. — URL: https://znanium.com/catalog/product/1993509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Качкова</w:t>
      </w:r>
      <w:proofErr w:type="spellEnd"/>
      <w:r>
        <w:rPr>
          <w:sz w:val="28"/>
          <w:szCs w:val="28"/>
        </w:rPr>
        <w:t xml:space="preserve">, О. Е. Бухгалтерский учет в бюджетных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«Экономика» / О. Е. </w:t>
      </w:r>
      <w:proofErr w:type="spellStart"/>
      <w:r>
        <w:rPr>
          <w:sz w:val="28"/>
          <w:szCs w:val="28"/>
        </w:rPr>
        <w:t>Качкова</w:t>
      </w:r>
      <w:proofErr w:type="spellEnd"/>
      <w:r>
        <w:rPr>
          <w:sz w:val="28"/>
          <w:szCs w:val="28"/>
        </w:rPr>
        <w:t xml:space="preserve">, Т. И. </w:t>
      </w:r>
      <w:proofErr w:type="spellStart"/>
      <w:r>
        <w:rPr>
          <w:sz w:val="28"/>
          <w:szCs w:val="28"/>
        </w:rPr>
        <w:t>Кришталева</w:t>
      </w:r>
      <w:proofErr w:type="spellEnd"/>
      <w:r>
        <w:rPr>
          <w:sz w:val="28"/>
          <w:szCs w:val="28"/>
        </w:rPr>
        <w:t xml:space="preserve">, М. Ф. </w:t>
      </w:r>
      <w:proofErr w:type="spellStart"/>
      <w:proofErr w:type="gramStart"/>
      <w:r>
        <w:rPr>
          <w:sz w:val="28"/>
          <w:szCs w:val="28"/>
        </w:rPr>
        <w:t>Овсийчук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376 с. — ISBN 978-5-406-09482-2. — ЭБС BOOK.RU. — URL: https://book.ru/book/943141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Бюджетные учреждения: планирование, учет, анализ и </w:t>
      </w:r>
      <w:proofErr w:type="gramStart"/>
      <w:r>
        <w:rPr>
          <w:sz w:val="28"/>
          <w:szCs w:val="28"/>
        </w:rPr>
        <w:t>контроль :</w:t>
      </w:r>
      <w:proofErr w:type="gramEnd"/>
      <w:r>
        <w:rPr>
          <w:sz w:val="28"/>
          <w:szCs w:val="28"/>
        </w:rPr>
        <w:t xml:space="preserve"> учеб. для гр.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«Экономика и управление» / Ю. И. </w:t>
      </w:r>
      <w:proofErr w:type="spellStart"/>
      <w:r>
        <w:rPr>
          <w:sz w:val="28"/>
          <w:szCs w:val="28"/>
        </w:rPr>
        <w:t>Бахтурина</w:t>
      </w:r>
      <w:proofErr w:type="spellEnd"/>
      <w:r>
        <w:rPr>
          <w:sz w:val="28"/>
          <w:szCs w:val="28"/>
        </w:rPr>
        <w:t xml:space="preserve">, И. С. Бехтерева, А. Н. </w:t>
      </w:r>
      <w:proofErr w:type="spellStart"/>
      <w:r>
        <w:rPr>
          <w:sz w:val="28"/>
          <w:szCs w:val="28"/>
        </w:rPr>
        <w:t>Бобрышев</w:t>
      </w:r>
      <w:proofErr w:type="spellEnd"/>
      <w:r>
        <w:rPr>
          <w:sz w:val="28"/>
          <w:szCs w:val="28"/>
        </w:rPr>
        <w:t xml:space="preserve"> [и др.] ; под ред. Д. А. </w:t>
      </w:r>
      <w:proofErr w:type="spellStart"/>
      <w:r>
        <w:rPr>
          <w:sz w:val="28"/>
          <w:szCs w:val="28"/>
        </w:rPr>
        <w:t>Ендовицкого</w:t>
      </w:r>
      <w:proofErr w:type="spellEnd"/>
      <w:r>
        <w:rPr>
          <w:sz w:val="28"/>
          <w:szCs w:val="28"/>
        </w:rPr>
        <w:t xml:space="preserve"> ; Воронежский гос. ун-т. — Москва 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803 с. — ISBN 978-5-406-10153-7. — ЭБС BOOK.RU. — URL: https://book.ru/book/944660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i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Управленческий учет в бюджетных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учебник / И. Д. Демина, М. И. Сидорова, М. Ю. </w:t>
      </w:r>
      <w:proofErr w:type="spellStart"/>
      <w:r>
        <w:rPr>
          <w:sz w:val="28"/>
          <w:szCs w:val="28"/>
        </w:rPr>
        <w:t>Алейникова</w:t>
      </w:r>
      <w:proofErr w:type="spellEnd"/>
      <w:r>
        <w:rPr>
          <w:sz w:val="28"/>
          <w:szCs w:val="28"/>
        </w:rPr>
        <w:t xml:space="preserve"> [и др.] ; под ред. М. А. Вахрушиной.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2023. — 154 с.   — ISBN 978-5-9558-0507-8. — ЭБС ZNANIUM.COM. — URL: https://znanium.com/catalog/product/1903339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Организация учета и внутреннего контроля в государственных (муниципальных)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монография / О. Е. </w:t>
      </w:r>
      <w:proofErr w:type="spellStart"/>
      <w:r>
        <w:rPr>
          <w:sz w:val="28"/>
          <w:szCs w:val="28"/>
        </w:rPr>
        <w:t>Качкова</w:t>
      </w:r>
      <w:proofErr w:type="spellEnd"/>
      <w:r>
        <w:rPr>
          <w:sz w:val="28"/>
          <w:szCs w:val="28"/>
        </w:rPr>
        <w:t xml:space="preserve">, Л. В. Клепикова, Т. И. </w:t>
      </w:r>
      <w:proofErr w:type="spellStart"/>
      <w:r>
        <w:rPr>
          <w:sz w:val="28"/>
          <w:szCs w:val="28"/>
        </w:rPr>
        <w:t>Кришталева</w:t>
      </w:r>
      <w:proofErr w:type="spellEnd"/>
      <w:r>
        <w:rPr>
          <w:sz w:val="28"/>
          <w:szCs w:val="28"/>
        </w:rPr>
        <w:t xml:space="preserve">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254 с. — ISBN 978-5-4365-4311-6. — ЭБС BOOK.RU. — URL: https://book.ru/book/935309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affa"/>
        <w:widowControl w:val="0"/>
        <w:tabs>
          <w:tab w:val="left" w:pos="284"/>
          <w:tab w:val="left" w:pos="567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Современная концепция бухгалтерского учета и внутреннего контроля в государственных (муниципальных) </w:t>
      </w:r>
      <w:proofErr w:type="gramStart"/>
      <w:r>
        <w:rPr>
          <w:sz w:val="28"/>
          <w:szCs w:val="28"/>
        </w:rPr>
        <w:t>учреждениях :</w:t>
      </w:r>
      <w:proofErr w:type="gramEnd"/>
      <w:r>
        <w:rPr>
          <w:sz w:val="28"/>
          <w:szCs w:val="28"/>
        </w:rPr>
        <w:t xml:space="preserve"> монография / О. Е. </w:t>
      </w:r>
      <w:proofErr w:type="spellStart"/>
      <w:r>
        <w:rPr>
          <w:sz w:val="28"/>
          <w:szCs w:val="28"/>
        </w:rPr>
        <w:t>Качкова</w:t>
      </w:r>
      <w:proofErr w:type="spellEnd"/>
      <w:r>
        <w:rPr>
          <w:sz w:val="28"/>
          <w:szCs w:val="28"/>
        </w:rPr>
        <w:t xml:space="preserve">, И. Д. Демина, М. А. Вахрушина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2018. — 215 с. — ISBN 978-5-4365-3012-3. — ЭБС BOOK.RU. — URL: https://book.ru/book/932222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92BDE" w:rsidRDefault="005F47F4">
      <w:pPr>
        <w:pStyle w:val="1"/>
        <w:ind w:firstLine="709"/>
        <w:jc w:val="both"/>
        <w:rPr>
          <w:b/>
          <w:sz w:val="28"/>
          <w:szCs w:val="28"/>
        </w:rPr>
      </w:pPr>
      <w:bookmarkStart w:id="35" w:name="_Toc34227952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5"/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f2"/>
            <w:sz w:val="28"/>
            <w:szCs w:val="28"/>
          </w:rPr>
          <w:t>http://elib.fa.ru/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fff2"/>
            <w:sz w:val="28"/>
            <w:szCs w:val="28"/>
          </w:rPr>
          <w:t>http://www.book.ru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>
          <w:rPr>
            <w:rStyle w:val="afff2"/>
            <w:sz w:val="28"/>
            <w:szCs w:val="28"/>
            <w:lang w:val="en-US"/>
          </w:rPr>
          <w:t>http</w:t>
        </w:r>
        <w:r>
          <w:rPr>
            <w:rStyle w:val="afff2"/>
            <w:sz w:val="28"/>
            <w:szCs w:val="28"/>
          </w:rPr>
          <w:t>://</w:t>
        </w:r>
        <w:proofErr w:type="spellStart"/>
        <w:r>
          <w:rPr>
            <w:rStyle w:val="afff2"/>
            <w:sz w:val="28"/>
            <w:szCs w:val="28"/>
            <w:lang w:val="en-US"/>
          </w:rPr>
          <w:t>biblioclub</w:t>
        </w:r>
        <w:proofErr w:type="spellEnd"/>
        <w:r>
          <w:rPr>
            <w:rStyle w:val="afff2"/>
            <w:sz w:val="28"/>
            <w:szCs w:val="28"/>
          </w:rPr>
          <w:t>.</w:t>
        </w:r>
        <w:proofErr w:type="spellStart"/>
        <w:r>
          <w:rPr>
            <w:rStyle w:val="afff2"/>
            <w:sz w:val="28"/>
            <w:szCs w:val="28"/>
            <w:lang w:val="en-US"/>
          </w:rPr>
          <w:t>ru</w:t>
        </w:r>
        <w:proofErr w:type="spellEnd"/>
        <w:r>
          <w:rPr>
            <w:rStyle w:val="afff2"/>
            <w:sz w:val="28"/>
            <w:szCs w:val="28"/>
          </w:rPr>
          <w:t>/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3" w:history="1">
        <w:r>
          <w:rPr>
            <w:rStyle w:val="afff2"/>
            <w:sz w:val="28"/>
            <w:szCs w:val="28"/>
          </w:rPr>
          <w:t>http://www.znanium.com</w:t>
        </w:r>
      </w:hyperlink>
    </w:p>
    <w:p w:rsidR="00881F5F" w:rsidRDefault="00881F5F" w:rsidP="00881F5F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>
          <w:rPr>
            <w:rStyle w:val="afff2"/>
            <w:sz w:val="28"/>
            <w:szCs w:val="28"/>
            <w:lang w:val="en-US"/>
          </w:rPr>
          <w:t>https</w:t>
        </w:r>
        <w:r>
          <w:rPr>
            <w:rStyle w:val="afff2"/>
            <w:sz w:val="28"/>
            <w:szCs w:val="28"/>
          </w:rPr>
          <w:t>://</w:t>
        </w:r>
        <w:r>
          <w:rPr>
            <w:rStyle w:val="afff2"/>
            <w:sz w:val="28"/>
            <w:szCs w:val="28"/>
            <w:lang w:val="en-US"/>
          </w:rPr>
          <w:t>www</w:t>
        </w:r>
        <w:r>
          <w:rPr>
            <w:rStyle w:val="afff2"/>
            <w:sz w:val="28"/>
            <w:szCs w:val="28"/>
          </w:rPr>
          <w:t>.</w:t>
        </w:r>
        <w:proofErr w:type="spellStart"/>
        <w:r>
          <w:rPr>
            <w:rStyle w:val="afff2"/>
            <w:sz w:val="28"/>
            <w:szCs w:val="28"/>
            <w:lang w:val="en-US"/>
          </w:rPr>
          <w:t>biblio</w:t>
        </w:r>
        <w:proofErr w:type="spellEnd"/>
        <w:r>
          <w:rPr>
            <w:rStyle w:val="afff2"/>
            <w:sz w:val="28"/>
            <w:szCs w:val="28"/>
          </w:rPr>
          <w:t>-</w:t>
        </w:r>
        <w:r>
          <w:rPr>
            <w:rStyle w:val="afff2"/>
            <w:sz w:val="28"/>
            <w:szCs w:val="28"/>
            <w:lang w:val="en-US"/>
          </w:rPr>
          <w:t>online</w:t>
        </w:r>
        <w:r>
          <w:rPr>
            <w:rStyle w:val="afff2"/>
            <w:sz w:val="28"/>
            <w:szCs w:val="28"/>
          </w:rPr>
          <w:t>.</w:t>
        </w:r>
        <w:proofErr w:type="spellStart"/>
        <w:r>
          <w:rPr>
            <w:rStyle w:val="afff2"/>
            <w:sz w:val="28"/>
            <w:szCs w:val="28"/>
            <w:lang w:val="en-US"/>
          </w:rPr>
          <w:t>ru</w:t>
        </w:r>
        <w:proofErr w:type="spellEnd"/>
        <w:r>
          <w:rPr>
            <w:rStyle w:val="afff2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881F5F" w:rsidRDefault="00881F5F" w:rsidP="00881F5F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5" w:history="1">
        <w:r>
          <w:rPr>
            <w:rStyle w:val="afff2"/>
            <w:sz w:val="28"/>
            <w:szCs w:val="28"/>
            <w:lang w:val="en-US"/>
          </w:rPr>
          <w:t>http</w:t>
        </w:r>
        <w:r>
          <w:rPr>
            <w:rStyle w:val="afff2"/>
            <w:sz w:val="28"/>
            <w:szCs w:val="28"/>
          </w:rPr>
          <w:t>://</w:t>
        </w:r>
        <w:proofErr w:type="spellStart"/>
        <w:r>
          <w:rPr>
            <w:rStyle w:val="afff2"/>
            <w:sz w:val="28"/>
            <w:szCs w:val="28"/>
            <w:lang w:val="en-US"/>
          </w:rPr>
          <w:t>elibrary</w:t>
        </w:r>
        <w:proofErr w:type="spellEnd"/>
        <w:r>
          <w:rPr>
            <w:rStyle w:val="afff2"/>
            <w:sz w:val="28"/>
            <w:szCs w:val="28"/>
          </w:rPr>
          <w:t>.</w:t>
        </w:r>
        <w:proofErr w:type="spellStart"/>
        <w:r>
          <w:rPr>
            <w:rStyle w:val="afff2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 </w:t>
      </w:r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hyperlink r:id="rId16" w:history="1">
        <w:r>
          <w:rPr>
            <w:rStyle w:val="afff2"/>
            <w:sz w:val="28"/>
            <w:szCs w:val="28"/>
          </w:rPr>
          <w:t>http://grebennikon.ru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w:history="1">
        <w:r>
          <w:rPr>
            <w:sz w:val="28"/>
            <w:szCs w:val="28"/>
          </w:rPr>
          <w:t>http://нэб.рф/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7" w:history="1">
        <w:r>
          <w:rPr>
            <w:rStyle w:val="afff2"/>
            <w:bCs/>
            <w:sz w:val="28"/>
            <w:szCs w:val="28"/>
          </w:rPr>
          <w:t>https://dvs.rsl.ru/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18" w:history="1">
        <w:r>
          <w:rPr>
            <w:rStyle w:val="afff2"/>
            <w:sz w:val="28"/>
            <w:szCs w:val="28"/>
            <w:lang w:val="en-US"/>
          </w:rPr>
          <w:t>http</w:t>
        </w:r>
        <w:r>
          <w:rPr>
            <w:rStyle w:val="afff2"/>
            <w:sz w:val="28"/>
            <w:szCs w:val="28"/>
          </w:rPr>
          <w:t>://</w:t>
        </w:r>
        <w:r>
          <w:rPr>
            <w:rStyle w:val="afff2"/>
            <w:sz w:val="28"/>
            <w:szCs w:val="28"/>
            <w:lang w:val="en-US"/>
          </w:rPr>
          <w:t>www</w:t>
        </w:r>
        <w:r>
          <w:rPr>
            <w:rStyle w:val="afff2"/>
            <w:sz w:val="28"/>
            <w:szCs w:val="28"/>
          </w:rPr>
          <w:t>.1</w:t>
        </w:r>
        <w:proofErr w:type="spellStart"/>
        <w:r>
          <w:rPr>
            <w:rStyle w:val="afff2"/>
            <w:sz w:val="28"/>
            <w:szCs w:val="28"/>
            <w:lang w:val="en-US"/>
          </w:rPr>
          <w:t>fd</w:t>
        </w:r>
        <w:proofErr w:type="spellEnd"/>
        <w:r>
          <w:rPr>
            <w:rStyle w:val="afff2"/>
            <w:sz w:val="28"/>
            <w:szCs w:val="28"/>
          </w:rPr>
          <w:t>.</w:t>
        </w:r>
        <w:proofErr w:type="spellStart"/>
        <w:r>
          <w:rPr>
            <w:rStyle w:val="afff2"/>
            <w:sz w:val="28"/>
            <w:szCs w:val="28"/>
            <w:lang w:val="en-US"/>
          </w:rPr>
          <w:t>ru</w:t>
        </w:r>
        <w:proofErr w:type="spellEnd"/>
        <w:r>
          <w:rPr>
            <w:rStyle w:val="afff2"/>
            <w:sz w:val="28"/>
            <w:szCs w:val="28"/>
          </w:rPr>
          <w:t>/</w:t>
        </w:r>
      </w:hyperlink>
    </w:p>
    <w:p w:rsidR="00881F5F" w:rsidRDefault="00881F5F" w:rsidP="00881F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</w:t>
      </w:r>
      <w:hyperlink r:id="rId19" w:history="1">
        <w:r>
          <w:rPr>
            <w:rStyle w:val="afff2"/>
            <w:sz w:val="28"/>
            <w:szCs w:val="28"/>
          </w:rPr>
          <w:t>http://search.ebscohost.com</w:t>
        </w:r>
      </w:hyperlink>
    </w:p>
    <w:p w:rsidR="00881F5F" w:rsidRPr="00881F5F" w:rsidRDefault="00881F5F" w:rsidP="00881F5F">
      <w:pPr>
        <w:spacing w:line="276" w:lineRule="auto"/>
        <w:ind w:firstLine="709"/>
        <w:jc w:val="both"/>
        <w:rPr>
          <w:bCs/>
          <w:sz w:val="28"/>
          <w:szCs w:val="28"/>
          <w:lang w:val="en-US"/>
        </w:rPr>
      </w:pPr>
      <w:r>
        <w:rPr>
          <w:sz w:val="28"/>
          <w:szCs w:val="28"/>
        </w:rPr>
        <w:t>Электронные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>
        <w:rPr>
          <w:sz w:val="28"/>
          <w:szCs w:val="28"/>
          <w:lang w:val="en-US"/>
        </w:rPr>
        <w:t xml:space="preserve"> Elsevier. </w:t>
      </w:r>
      <w:r>
        <w:rPr>
          <w:sz w:val="28"/>
          <w:szCs w:val="28"/>
        </w:rPr>
        <w:t>Коллекции</w:t>
      </w:r>
      <w:r>
        <w:rPr>
          <w:sz w:val="28"/>
          <w:szCs w:val="28"/>
          <w:lang w:val="en-US"/>
        </w:rPr>
        <w:t xml:space="preserve">: Business, management and Accounting; Economics, Econometrics and Finance </w:t>
      </w:r>
      <w:hyperlink r:id="rId20" w:history="1">
        <w:r>
          <w:rPr>
            <w:rStyle w:val="afff2"/>
            <w:sz w:val="28"/>
            <w:szCs w:val="28"/>
            <w:lang w:val="en-US"/>
          </w:rPr>
          <w:t>http://www.sciencedirect.com</w:t>
        </w:r>
      </w:hyperlink>
    </w:p>
    <w:p w:rsidR="00881F5F" w:rsidRDefault="00881F5F" w:rsidP="00881F5F">
      <w:pPr>
        <w:spacing w:line="276" w:lineRule="auto"/>
        <w:ind w:firstLine="709"/>
        <w:jc w:val="both"/>
      </w:pPr>
      <w:r>
        <w:rPr>
          <w:bCs/>
          <w:sz w:val="28"/>
          <w:szCs w:val="28"/>
        </w:rPr>
        <w:t xml:space="preserve">Коллекция научных журналов </w:t>
      </w:r>
      <w:proofErr w:type="spellStart"/>
      <w:r>
        <w:rPr>
          <w:bCs/>
          <w:sz w:val="28"/>
          <w:szCs w:val="28"/>
        </w:rPr>
        <w:t>Oxford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University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Press</w:t>
      </w:r>
      <w:proofErr w:type="spellEnd"/>
      <w:r>
        <w:rPr>
          <w:bCs/>
          <w:sz w:val="28"/>
          <w:szCs w:val="28"/>
        </w:rPr>
        <w:t xml:space="preserve"> </w:t>
      </w:r>
      <w:hyperlink r:id="rId21" w:history="1">
        <w:r>
          <w:rPr>
            <w:rStyle w:val="afff2"/>
            <w:sz w:val="28"/>
            <w:szCs w:val="28"/>
          </w:rPr>
          <w:t>https://academic.oup.com/journals/</w:t>
        </w:r>
      </w:hyperlink>
    </w:p>
    <w:p w:rsidR="00881F5F" w:rsidRDefault="00881F5F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</w:p>
    <w:p w:rsidR="00C92BDE" w:rsidRDefault="005F47F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C92BDE" w:rsidRDefault="005F47F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</w:t>
      </w:r>
      <w:r>
        <w:rPr>
          <w:sz w:val="28"/>
          <w:szCs w:val="28"/>
        </w:rPr>
        <w:lastRenderedPageBreak/>
        <w:t xml:space="preserve">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«Распоряжения»/»Приказы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:rsidR="00C92BDE" w:rsidRDefault="005F47F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 утверждены совместно кафедрой «Финансовый контроль и казначейское дело» Финансового факультета и Департаментом аудита и корпоративной отчетности Факультета налогов, аудита и бизнес-анализа.</w:t>
      </w:r>
    </w:p>
    <w:p w:rsidR="00881F5F" w:rsidRDefault="00881F5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81F5F" w:rsidRDefault="00881F5F" w:rsidP="00881F5F">
      <w:pPr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</w:t>
      </w:r>
      <w:r>
        <w:rPr>
          <w:sz w:val="28"/>
          <w:szCs w:val="28"/>
        </w:rPr>
        <w:t>:</w:t>
      </w:r>
    </w:p>
    <w:p w:rsidR="00C92BDE" w:rsidRPr="00881F5F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881F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881F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81F5F">
        <w:rPr>
          <w:sz w:val="28"/>
          <w:szCs w:val="28"/>
        </w:rPr>
        <w:t xml:space="preserve">, 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881F5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881F5F">
        <w:rPr>
          <w:sz w:val="28"/>
          <w:szCs w:val="28"/>
        </w:rPr>
        <w:t>.</w:t>
      </w:r>
    </w:p>
    <w:p w:rsidR="00881F5F" w:rsidRPr="00881F5F" w:rsidRDefault="00881F5F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 (http://www.consultant.ru). 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2" w:history="1">
        <w:r w:rsidR="00881F5F" w:rsidRPr="00A33926">
          <w:rPr>
            <w:rStyle w:val="afff2"/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881F5F" w:rsidRDefault="00881F5F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881F5F" w:rsidRDefault="00881F5F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881F5F" w:rsidRDefault="00881F5F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C92BDE" w:rsidRDefault="005F47F4" w:rsidP="00881F5F">
      <w:pPr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C92BDE">
      <w:footerReference w:type="default" r:id="rId23"/>
      <w:footerReference w:type="first" r:id="rId24"/>
      <w:pgSz w:w="11906" w:h="16838"/>
      <w:pgMar w:top="1134" w:right="851" w:bottom="1134" w:left="1418" w:header="0" w:footer="709" w:gutter="0"/>
      <w:pgNumType w:start="17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7F4" w:rsidRDefault="005F47F4">
      <w:r>
        <w:separator/>
      </w:r>
    </w:p>
  </w:endnote>
  <w:endnote w:type="continuationSeparator" w:id="0">
    <w:p w:rsidR="005F47F4" w:rsidRDefault="005F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57263"/>
      <w:docPartObj>
        <w:docPartGallery w:val="Page Numbers (Bottom of Page)"/>
        <w:docPartUnique/>
      </w:docPartObj>
    </w:sdtPr>
    <w:sdtEndPr/>
    <w:sdtContent>
      <w:p w:rsidR="00C92BDE" w:rsidRDefault="005F47F4">
        <w:pPr>
          <w:pStyle w:val="aff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A23949">
          <w:rPr>
            <w:noProof/>
            <w:sz w:val="24"/>
            <w:szCs w:val="24"/>
          </w:rPr>
          <w:t>14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153827"/>
      <w:docPartObj>
        <w:docPartGallery w:val="Page Numbers (Bottom of Page)"/>
        <w:docPartUnique/>
      </w:docPartObj>
    </w:sdtPr>
    <w:sdtEndPr/>
    <w:sdtContent>
      <w:p w:rsidR="00C92BDE" w:rsidRDefault="005F47F4">
        <w:pPr>
          <w:pStyle w:val="aff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A23949">
          <w:rPr>
            <w:noProof/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187579"/>
      <w:docPartObj>
        <w:docPartGallery w:val="Page Numbers (Bottom of Page)"/>
        <w:docPartUnique/>
      </w:docPartObj>
    </w:sdtPr>
    <w:sdtEndPr/>
    <w:sdtContent>
      <w:p w:rsidR="00C92BDE" w:rsidRDefault="005F47F4">
        <w:pPr>
          <w:pStyle w:val="aff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A23949">
          <w:rPr>
            <w:noProof/>
            <w:sz w:val="24"/>
            <w:szCs w:val="24"/>
          </w:rPr>
          <w:t>25</w:t>
        </w:r>
        <w:r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276607"/>
      <w:docPartObj>
        <w:docPartGallery w:val="Page Numbers (Bottom of Page)"/>
        <w:docPartUnique/>
      </w:docPartObj>
    </w:sdtPr>
    <w:sdtEndPr/>
    <w:sdtContent>
      <w:p w:rsidR="00C92BDE" w:rsidRDefault="005F47F4">
        <w:pPr>
          <w:pStyle w:val="aff2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A23949">
          <w:rPr>
            <w:noProof/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7F4" w:rsidRDefault="005F47F4">
      <w:r>
        <w:separator/>
      </w:r>
    </w:p>
  </w:footnote>
  <w:footnote w:type="continuationSeparator" w:id="0">
    <w:p w:rsidR="005F47F4" w:rsidRDefault="005F4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CA6CFE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i/>
        <w:sz w:val="28"/>
        <w:szCs w:val="28"/>
        <w:lang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124E71"/>
    <w:multiLevelType w:val="multilevel"/>
    <w:tmpl w:val="048239C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1A15C9"/>
    <w:multiLevelType w:val="multilevel"/>
    <w:tmpl w:val="01E8913C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AFB4A08"/>
    <w:multiLevelType w:val="multilevel"/>
    <w:tmpl w:val="A05A3766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E6A1F"/>
    <w:multiLevelType w:val="multilevel"/>
    <w:tmpl w:val="F0D6E0AA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eastAsia="Calibri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54B2AEE"/>
    <w:multiLevelType w:val="multilevel"/>
    <w:tmpl w:val="5F4083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F9B36BD"/>
    <w:multiLevelType w:val="multilevel"/>
    <w:tmpl w:val="766CA1F2"/>
    <w:lvl w:ilvl="0">
      <w:start w:val="8"/>
      <w:numFmt w:val="decimal"/>
      <w:lvlText w:val="%1."/>
      <w:lvlJc w:val="left"/>
      <w:pPr>
        <w:tabs>
          <w:tab w:val="num" w:pos="0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7" w15:restartNumberingAfterBreak="0">
    <w:nsid w:val="58840A71"/>
    <w:multiLevelType w:val="multilevel"/>
    <w:tmpl w:val="68807A0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22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8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942" w:hanging="1800"/>
      </w:pPr>
    </w:lvl>
  </w:abstractNum>
  <w:abstractNum w:abstractNumId="8" w15:restartNumberingAfterBreak="0">
    <w:nsid w:val="5EB8154D"/>
    <w:multiLevelType w:val="multilevel"/>
    <w:tmpl w:val="AE6863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BDE"/>
    <w:rsid w:val="005F47F4"/>
    <w:rsid w:val="00881F5F"/>
    <w:rsid w:val="00A23949"/>
    <w:rsid w:val="00C9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02B6"/>
  <w15:docId w15:val="{E3AA4FEB-2B63-4613-A8FB-E08485A3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1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179A2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rsid w:val="001179A2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1179A2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link w:val="40"/>
    <w:qFormat/>
    <w:rsid w:val="001179A2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link w:val="50"/>
    <w:qFormat/>
    <w:rsid w:val="001179A2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1179A2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1179A2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1179A2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1179A2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1179A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главление 3 Знак1"/>
    <w:basedOn w:val="a1"/>
    <w:link w:val="30"/>
    <w:qFormat/>
    <w:rsid w:val="001179A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1"/>
    <w:link w:val="4"/>
    <w:qFormat/>
    <w:rsid w:val="001179A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1179A2"/>
    <w:rPr>
      <w:b w:val="0"/>
      <w:i w:val="0"/>
    </w:rPr>
  </w:style>
  <w:style w:type="character" w:customStyle="1" w:styleId="WW8Num7z0">
    <w:name w:val="WW8Num7z0"/>
    <w:qFormat/>
    <w:rsid w:val="001179A2"/>
    <w:rPr>
      <w:rFonts w:ascii="Symbol" w:hAnsi="Symbol"/>
    </w:rPr>
  </w:style>
  <w:style w:type="character" w:customStyle="1" w:styleId="WW8Num7z1">
    <w:name w:val="WW8Num7z1"/>
    <w:qFormat/>
    <w:rsid w:val="001179A2"/>
    <w:rPr>
      <w:rFonts w:ascii="Courier New" w:hAnsi="Courier New" w:cs="Courier New"/>
    </w:rPr>
  </w:style>
  <w:style w:type="character" w:customStyle="1" w:styleId="WW8Num7z2">
    <w:name w:val="WW8Num7z2"/>
    <w:qFormat/>
    <w:rsid w:val="001179A2"/>
    <w:rPr>
      <w:rFonts w:ascii="Wingdings" w:hAnsi="Wingdings"/>
    </w:rPr>
  </w:style>
  <w:style w:type="character" w:customStyle="1" w:styleId="WW8Num11z0">
    <w:name w:val="WW8Num11z0"/>
    <w:qFormat/>
    <w:rsid w:val="001179A2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1179A2"/>
    <w:rPr>
      <w:rFonts w:ascii="Courier New" w:hAnsi="Courier New"/>
    </w:rPr>
  </w:style>
  <w:style w:type="character" w:customStyle="1" w:styleId="WW8Num11z2">
    <w:name w:val="WW8Num11z2"/>
    <w:qFormat/>
    <w:rsid w:val="001179A2"/>
    <w:rPr>
      <w:rFonts w:ascii="Wingdings" w:hAnsi="Wingdings"/>
    </w:rPr>
  </w:style>
  <w:style w:type="character" w:customStyle="1" w:styleId="WW8Num11z3">
    <w:name w:val="WW8Num11z3"/>
    <w:qFormat/>
    <w:rsid w:val="001179A2"/>
    <w:rPr>
      <w:rFonts w:ascii="Symbol" w:hAnsi="Symbol"/>
    </w:rPr>
  </w:style>
  <w:style w:type="character" w:customStyle="1" w:styleId="WW8Num15z1">
    <w:name w:val="WW8Num15z1"/>
    <w:qFormat/>
    <w:rsid w:val="001179A2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1179A2"/>
    <w:rPr>
      <w:rFonts w:ascii="Wingdings" w:hAnsi="Wingdings"/>
    </w:rPr>
  </w:style>
  <w:style w:type="character" w:customStyle="1" w:styleId="WW8Num15z3">
    <w:name w:val="WW8Num15z3"/>
    <w:qFormat/>
    <w:rsid w:val="001179A2"/>
    <w:rPr>
      <w:rFonts w:ascii="Symbol" w:hAnsi="Symbol"/>
    </w:rPr>
  </w:style>
  <w:style w:type="character" w:customStyle="1" w:styleId="WW8Num15z4">
    <w:name w:val="WW8Num15z4"/>
    <w:qFormat/>
    <w:rsid w:val="001179A2"/>
    <w:rPr>
      <w:rFonts w:ascii="Courier New" w:hAnsi="Courier New"/>
    </w:rPr>
  </w:style>
  <w:style w:type="character" w:customStyle="1" w:styleId="WW8Num18z1">
    <w:name w:val="WW8Num18z1"/>
    <w:qFormat/>
    <w:rsid w:val="001179A2"/>
    <w:rPr>
      <w:rFonts w:ascii="Courier New" w:hAnsi="Courier New" w:cs="Courier New"/>
    </w:rPr>
  </w:style>
  <w:style w:type="character" w:customStyle="1" w:styleId="WW8Num18z2">
    <w:name w:val="WW8Num18z2"/>
    <w:qFormat/>
    <w:rsid w:val="001179A2"/>
    <w:rPr>
      <w:rFonts w:ascii="Wingdings" w:hAnsi="Wingdings"/>
    </w:rPr>
  </w:style>
  <w:style w:type="character" w:customStyle="1" w:styleId="WW8Num18z3">
    <w:name w:val="WW8Num18z3"/>
    <w:qFormat/>
    <w:rsid w:val="001179A2"/>
    <w:rPr>
      <w:rFonts w:ascii="Symbol" w:hAnsi="Symbol"/>
    </w:rPr>
  </w:style>
  <w:style w:type="character" w:customStyle="1" w:styleId="WW8Num19z0">
    <w:name w:val="WW8Num19z0"/>
    <w:qFormat/>
    <w:rsid w:val="001179A2"/>
    <w:rPr>
      <w:b w:val="0"/>
      <w:i w:val="0"/>
    </w:rPr>
  </w:style>
  <w:style w:type="character" w:customStyle="1" w:styleId="WW8Num21z0">
    <w:name w:val="WW8Num21z0"/>
    <w:qFormat/>
    <w:rsid w:val="001179A2"/>
    <w:rPr>
      <w:b w:val="0"/>
      <w:i w:val="0"/>
    </w:rPr>
  </w:style>
  <w:style w:type="character" w:customStyle="1" w:styleId="WW8Num24z1">
    <w:name w:val="WW8Num24z1"/>
    <w:qFormat/>
    <w:rsid w:val="001179A2"/>
    <w:rPr>
      <w:b/>
      <w:i w:val="0"/>
      <w:sz w:val="28"/>
      <w:szCs w:val="28"/>
    </w:rPr>
  </w:style>
  <w:style w:type="character" w:customStyle="1" w:styleId="WW8Num24z2">
    <w:name w:val="WW8Num24z2"/>
    <w:qFormat/>
    <w:rsid w:val="001179A2"/>
    <w:rPr>
      <w:rFonts w:ascii="Wingdings" w:hAnsi="Wingdings"/>
    </w:rPr>
  </w:style>
  <w:style w:type="character" w:customStyle="1" w:styleId="WW8Num24z3">
    <w:name w:val="WW8Num24z3"/>
    <w:qFormat/>
    <w:rsid w:val="001179A2"/>
    <w:rPr>
      <w:rFonts w:ascii="Symbol" w:hAnsi="Symbol"/>
    </w:rPr>
  </w:style>
  <w:style w:type="character" w:customStyle="1" w:styleId="WW8Num24z4">
    <w:name w:val="WW8Num24z4"/>
    <w:qFormat/>
    <w:rsid w:val="001179A2"/>
    <w:rPr>
      <w:rFonts w:ascii="Courier New" w:hAnsi="Courier New" w:cs="Courier New"/>
    </w:rPr>
  </w:style>
  <w:style w:type="character" w:customStyle="1" w:styleId="WW8Num27z0">
    <w:name w:val="WW8Num27z0"/>
    <w:qFormat/>
    <w:rsid w:val="001179A2"/>
    <w:rPr>
      <w:rFonts w:ascii="Symbol" w:hAnsi="Symbol"/>
    </w:rPr>
  </w:style>
  <w:style w:type="character" w:customStyle="1" w:styleId="WW8Num27z1">
    <w:name w:val="WW8Num27z1"/>
    <w:qFormat/>
    <w:rsid w:val="001179A2"/>
    <w:rPr>
      <w:rFonts w:ascii="Courier New" w:hAnsi="Courier New" w:cs="Courier New"/>
    </w:rPr>
  </w:style>
  <w:style w:type="character" w:customStyle="1" w:styleId="WW8Num27z2">
    <w:name w:val="WW8Num27z2"/>
    <w:qFormat/>
    <w:rsid w:val="001179A2"/>
    <w:rPr>
      <w:rFonts w:ascii="Wingdings" w:hAnsi="Wingdings"/>
    </w:rPr>
  </w:style>
  <w:style w:type="character" w:customStyle="1" w:styleId="WW8Num28z0">
    <w:name w:val="WW8Num28z0"/>
    <w:qFormat/>
    <w:rsid w:val="001179A2"/>
    <w:rPr>
      <w:rFonts w:ascii="Symbol" w:hAnsi="Symbol"/>
    </w:rPr>
  </w:style>
  <w:style w:type="character" w:customStyle="1" w:styleId="WW8Num29z0">
    <w:name w:val="WW8Num29z0"/>
    <w:qFormat/>
    <w:rsid w:val="001179A2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1179A2"/>
    <w:rPr>
      <w:b/>
      <w:i w:val="0"/>
      <w:sz w:val="28"/>
      <w:szCs w:val="28"/>
    </w:rPr>
  </w:style>
  <w:style w:type="character" w:customStyle="1" w:styleId="11">
    <w:name w:val="Основной шрифт абзаца1"/>
    <w:qFormat/>
    <w:rsid w:val="001179A2"/>
  </w:style>
  <w:style w:type="character" w:styleId="a4">
    <w:name w:val="page number"/>
    <w:basedOn w:val="11"/>
    <w:qFormat/>
    <w:rsid w:val="001179A2"/>
  </w:style>
  <w:style w:type="character" w:customStyle="1" w:styleId="-">
    <w:name w:val="Интернет-ссылка"/>
    <w:uiPriority w:val="99"/>
    <w:rsid w:val="001179A2"/>
    <w:rPr>
      <w:color w:val="0000FF"/>
      <w:u w:val="single"/>
    </w:rPr>
  </w:style>
  <w:style w:type="character" w:customStyle="1" w:styleId="a5">
    <w:name w:val="Основной текст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Заголовок Знак"/>
    <w:basedOn w:val="a1"/>
    <w:qFormat/>
    <w:rsid w:val="001179A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7">
    <w:name w:val="Подзаголовок Знак"/>
    <w:basedOn w:val="a1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uiPriority w:val="22"/>
    <w:qFormat/>
    <w:rsid w:val="001179A2"/>
    <w:rPr>
      <w:b/>
      <w:bCs/>
    </w:rPr>
  </w:style>
  <w:style w:type="character" w:customStyle="1" w:styleId="highlight">
    <w:name w:val="highlight"/>
    <w:qFormat/>
    <w:rsid w:val="001179A2"/>
    <w:rPr>
      <w:rFonts w:cs="Times New Roman"/>
    </w:rPr>
  </w:style>
  <w:style w:type="character" w:styleId="ad">
    <w:name w:val="Emphasis"/>
    <w:qFormat/>
    <w:rsid w:val="001179A2"/>
    <w:rPr>
      <w:rFonts w:cs="Times New Roman"/>
      <w:i/>
      <w:iCs/>
    </w:rPr>
  </w:style>
  <w:style w:type="character" w:customStyle="1" w:styleId="32">
    <w:name w:val="Оглавление 3 Знак"/>
    <w:basedOn w:val="a1"/>
    <w:link w:val="32"/>
    <w:qFormat/>
    <w:rsid w:val="001179A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Текст Знак"/>
    <w:basedOn w:val="a1"/>
    <w:qFormat/>
    <w:rsid w:val="00117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1"/>
    <w:semiHidden/>
    <w:qFormat/>
    <w:rsid w:val="001179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Абзац списка Знак"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1179A2"/>
    <w:rPr>
      <w:vertAlign w:val="superscript"/>
    </w:rPr>
  </w:style>
  <w:style w:type="character" w:customStyle="1" w:styleId="menu-item-text">
    <w:name w:val="menu-item-text"/>
    <w:basedOn w:val="a1"/>
    <w:qFormat/>
    <w:rsid w:val="001179A2"/>
  </w:style>
  <w:style w:type="character" w:customStyle="1" w:styleId="ms-rtethemeforecolor-2-0">
    <w:name w:val="ms-rtethemeforecolor-2-0"/>
    <w:basedOn w:val="a1"/>
    <w:qFormat/>
    <w:rsid w:val="001179A2"/>
  </w:style>
  <w:style w:type="character" w:customStyle="1" w:styleId="ListParagraphChar1">
    <w:name w:val="List Paragraph Char1"/>
    <w:link w:val="12"/>
    <w:uiPriority w:val="34"/>
    <w:qFormat/>
    <w:locked/>
    <w:rsid w:val="001179A2"/>
    <w:rPr>
      <w:rFonts w:ascii="Calibri" w:hAnsi="Calibri"/>
    </w:rPr>
  </w:style>
  <w:style w:type="character" w:styleId="af2">
    <w:name w:val="annotation reference"/>
    <w:basedOn w:val="a1"/>
    <w:semiHidden/>
    <w:unhideWhenUsed/>
    <w:qFormat/>
    <w:rsid w:val="001179A2"/>
    <w:rPr>
      <w:sz w:val="16"/>
      <w:szCs w:val="16"/>
    </w:rPr>
  </w:style>
  <w:style w:type="character" w:customStyle="1" w:styleId="af3">
    <w:name w:val="Текст примечания Знак"/>
    <w:basedOn w:val="a1"/>
    <w:semiHidden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semiHidden/>
    <w:qFormat/>
    <w:rsid w:val="001179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1179A2"/>
  </w:style>
  <w:style w:type="character" w:customStyle="1" w:styleId="af5">
    <w:name w:val="Гипертекстовая ссылка"/>
    <w:basedOn w:val="a1"/>
    <w:uiPriority w:val="99"/>
    <w:qFormat/>
    <w:rsid w:val="001179A2"/>
    <w:rPr>
      <w:rFonts w:cs="Times New Roman"/>
      <w:b w:val="0"/>
      <w:color w:val="106BBE"/>
    </w:rPr>
  </w:style>
  <w:style w:type="character" w:customStyle="1" w:styleId="FontStyle12">
    <w:name w:val="Font Style12"/>
    <w:qFormat/>
    <w:rsid w:val="005545F8"/>
    <w:rPr>
      <w:rFonts w:ascii="Times New Roman" w:hAnsi="Times New Roman" w:cs="Times New Roman"/>
      <w:sz w:val="26"/>
      <w:szCs w:val="26"/>
    </w:rPr>
  </w:style>
  <w:style w:type="character" w:customStyle="1" w:styleId="af6">
    <w:name w:val="Обычный (Интернет) Знак"/>
    <w:basedOn w:val="a1"/>
    <w:uiPriority w:val="99"/>
    <w:qFormat/>
    <w:locked/>
    <w:rsid w:val="000D2F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Посещённая гиперссылка"/>
    <w:rPr>
      <w:color w:val="800000"/>
      <w:u w:val="single"/>
    </w:rPr>
  </w:style>
  <w:style w:type="paragraph" w:styleId="af8">
    <w:name w:val="Title"/>
    <w:basedOn w:val="a0"/>
    <w:next w:val="af9"/>
    <w:qFormat/>
    <w:rsid w:val="001179A2"/>
    <w:pPr>
      <w:jc w:val="center"/>
    </w:pPr>
    <w:rPr>
      <w:szCs w:val="20"/>
      <w:u w:val="single"/>
    </w:rPr>
  </w:style>
  <w:style w:type="paragraph" w:styleId="afa">
    <w:name w:val="Body Text"/>
    <w:basedOn w:val="a0"/>
    <w:rsid w:val="001179A2"/>
    <w:pPr>
      <w:jc w:val="both"/>
    </w:pPr>
    <w:rPr>
      <w:sz w:val="28"/>
      <w:szCs w:val="20"/>
    </w:rPr>
  </w:style>
  <w:style w:type="paragraph" w:styleId="afb">
    <w:name w:val="List"/>
    <w:basedOn w:val="afa"/>
    <w:rsid w:val="001179A2"/>
    <w:rPr>
      <w:rFonts w:cs="Tahoma"/>
    </w:rPr>
  </w:style>
  <w:style w:type="paragraph" w:styleId="afc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d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0"/>
    <w:next w:val="afa"/>
    <w:link w:val="ListParagraphChar1"/>
    <w:qFormat/>
    <w:rsid w:val="001179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3">
    <w:name w:val="Название1"/>
    <w:basedOn w:val="a0"/>
    <w:qFormat/>
    <w:rsid w:val="001179A2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0"/>
    <w:qFormat/>
    <w:rsid w:val="001179A2"/>
    <w:pPr>
      <w:suppressLineNumbers/>
    </w:pPr>
    <w:rPr>
      <w:rFonts w:cs="Tahoma"/>
    </w:rPr>
  </w:style>
  <w:style w:type="paragraph" w:customStyle="1" w:styleId="15">
    <w:name w:val="Текст1"/>
    <w:basedOn w:val="a0"/>
    <w:qFormat/>
    <w:rsid w:val="001179A2"/>
    <w:rPr>
      <w:rFonts w:ascii="Courier New" w:hAnsi="Courier New"/>
      <w:sz w:val="20"/>
      <w:szCs w:val="20"/>
    </w:rPr>
  </w:style>
  <w:style w:type="paragraph" w:styleId="af9">
    <w:name w:val="Subtitle"/>
    <w:basedOn w:val="a0"/>
    <w:next w:val="afa"/>
    <w:qFormat/>
    <w:rsid w:val="001179A2"/>
    <w:pPr>
      <w:jc w:val="center"/>
    </w:pPr>
    <w:rPr>
      <w:b/>
      <w:szCs w:val="20"/>
    </w:rPr>
  </w:style>
  <w:style w:type="paragraph" w:customStyle="1" w:styleId="16">
    <w:name w:val="Цитата1"/>
    <w:basedOn w:val="a0"/>
    <w:qFormat/>
    <w:rsid w:val="001179A2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rsid w:val="001179A2"/>
    <w:pPr>
      <w:ind w:right="88"/>
      <w:jc w:val="both"/>
    </w:pPr>
    <w:rPr>
      <w:sz w:val="28"/>
      <w:szCs w:val="20"/>
      <w:u w:val="single"/>
    </w:rPr>
  </w:style>
  <w:style w:type="paragraph" w:styleId="afe">
    <w:name w:val="Body Text Indent"/>
    <w:basedOn w:val="a0"/>
    <w:rsid w:val="001179A2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">
    <w:name w:val="Верхний и нижний колонтитулы"/>
    <w:basedOn w:val="a0"/>
    <w:qFormat/>
  </w:style>
  <w:style w:type="paragraph" w:styleId="aff0">
    <w:name w:val="header"/>
    <w:basedOn w:val="a0"/>
    <w:rsid w:val="001179A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0"/>
    <w:qFormat/>
    <w:rsid w:val="001179A2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rsid w:val="001179A2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rsid w:val="001179A2"/>
    <w:pPr>
      <w:spacing w:before="222"/>
      <w:ind w:right="352"/>
      <w:jc w:val="both"/>
    </w:pPr>
    <w:rPr>
      <w:sz w:val="28"/>
      <w:szCs w:val="20"/>
    </w:rPr>
  </w:style>
  <w:style w:type="paragraph" w:styleId="aff1">
    <w:name w:val="footnote text"/>
    <w:basedOn w:val="a0"/>
    <w:uiPriority w:val="99"/>
    <w:rsid w:val="001179A2"/>
    <w:rPr>
      <w:sz w:val="20"/>
      <w:szCs w:val="20"/>
    </w:rPr>
  </w:style>
  <w:style w:type="paragraph" w:styleId="aff2">
    <w:name w:val="footer"/>
    <w:basedOn w:val="a0"/>
    <w:uiPriority w:val="99"/>
    <w:rsid w:val="001179A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1179A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2">
    <w:name w:val="toc 2"/>
    <w:basedOn w:val="a0"/>
    <w:next w:val="a0"/>
    <w:uiPriority w:val="39"/>
    <w:rsid w:val="001179A2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1179A2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Продолжение списка 21"/>
    <w:basedOn w:val="a0"/>
    <w:qFormat/>
    <w:rsid w:val="001179A2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7">
    <w:name w:val="toc 1"/>
    <w:basedOn w:val="a0"/>
    <w:next w:val="a0"/>
    <w:uiPriority w:val="39"/>
    <w:rsid w:val="001179A2"/>
    <w:rPr>
      <w:sz w:val="28"/>
    </w:rPr>
  </w:style>
  <w:style w:type="paragraph" w:customStyle="1" w:styleId="aff3">
    <w:name w:val="Содержимое таблицы"/>
    <w:basedOn w:val="a0"/>
    <w:qFormat/>
    <w:rsid w:val="001179A2"/>
    <w:pPr>
      <w:suppressLineNumbers/>
    </w:pPr>
  </w:style>
  <w:style w:type="paragraph" w:customStyle="1" w:styleId="aff4">
    <w:name w:val="Заголовок таблицы"/>
    <w:basedOn w:val="aff3"/>
    <w:qFormat/>
    <w:rsid w:val="001179A2"/>
    <w:pPr>
      <w:jc w:val="center"/>
    </w:pPr>
    <w:rPr>
      <w:b/>
      <w:bCs/>
    </w:rPr>
  </w:style>
  <w:style w:type="paragraph" w:styleId="30">
    <w:name w:val="toc 3"/>
    <w:basedOn w:val="14"/>
    <w:link w:val="31"/>
    <w:uiPriority w:val="39"/>
    <w:rsid w:val="001179A2"/>
    <w:pPr>
      <w:tabs>
        <w:tab w:val="right" w:leader="dot" w:pos="9637"/>
      </w:tabs>
      <w:ind w:left="566"/>
    </w:pPr>
  </w:style>
  <w:style w:type="paragraph" w:styleId="41">
    <w:name w:val="toc 4"/>
    <w:basedOn w:val="14"/>
    <w:semiHidden/>
    <w:rsid w:val="001179A2"/>
    <w:pPr>
      <w:tabs>
        <w:tab w:val="right" w:leader="dot" w:pos="9637"/>
      </w:tabs>
      <w:ind w:left="849"/>
    </w:pPr>
  </w:style>
  <w:style w:type="paragraph" w:styleId="51">
    <w:name w:val="toc 5"/>
    <w:basedOn w:val="14"/>
    <w:semiHidden/>
    <w:rsid w:val="001179A2"/>
    <w:pPr>
      <w:tabs>
        <w:tab w:val="right" w:leader="dot" w:pos="9637"/>
      </w:tabs>
      <w:ind w:left="1132"/>
    </w:pPr>
  </w:style>
  <w:style w:type="paragraph" w:styleId="61">
    <w:name w:val="toc 6"/>
    <w:basedOn w:val="14"/>
    <w:semiHidden/>
    <w:rsid w:val="001179A2"/>
    <w:pPr>
      <w:tabs>
        <w:tab w:val="right" w:leader="dot" w:pos="9637"/>
      </w:tabs>
      <w:ind w:left="1415"/>
    </w:pPr>
  </w:style>
  <w:style w:type="paragraph" w:styleId="71">
    <w:name w:val="toc 7"/>
    <w:basedOn w:val="14"/>
    <w:semiHidden/>
    <w:rsid w:val="001179A2"/>
    <w:pPr>
      <w:tabs>
        <w:tab w:val="right" w:leader="dot" w:pos="9637"/>
      </w:tabs>
      <w:ind w:left="1698"/>
    </w:pPr>
  </w:style>
  <w:style w:type="paragraph" w:styleId="81">
    <w:name w:val="toc 8"/>
    <w:basedOn w:val="14"/>
    <w:semiHidden/>
    <w:rsid w:val="001179A2"/>
    <w:pPr>
      <w:tabs>
        <w:tab w:val="right" w:leader="dot" w:pos="9637"/>
      </w:tabs>
      <w:ind w:left="1981"/>
    </w:pPr>
  </w:style>
  <w:style w:type="paragraph" w:styleId="91">
    <w:name w:val="toc 9"/>
    <w:basedOn w:val="14"/>
    <w:semiHidden/>
    <w:rsid w:val="001179A2"/>
    <w:pPr>
      <w:tabs>
        <w:tab w:val="right" w:leader="dot" w:pos="9637"/>
      </w:tabs>
      <w:ind w:left="2264"/>
    </w:pPr>
  </w:style>
  <w:style w:type="paragraph" w:customStyle="1" w:styleId="110">
    <w:name w:val="Заголовок 1 Знак1"/>
    <w:basedOn w:val="14"/>
    <w:qFormat/>
    <w:rsid w:val="001179A2"/>
    <w:pPr>
      <w:tabs>
        <w:tab w:val="right" w:leader="dot" w:pos="9637"/>
      </w:tabs>
      <w:ind w:left="2547"/>
    </w:pPr>
  </w:style>
  <w:style w:type="paragraph" w:customStyle="1" w:styleId="aff5">
    <w:name w:val="Содержимое врезки"/>
    <w:basedOn w:val="afa"/>
    <w:qFormat/>
    <w:rsid w:val="001179A2"/>
  </w:style>
  <w:style w:type="paragraph" w:customStyle="1" w:styleId="ConsPlusTitle">
    <w:name w:val="ConsPlusTitle"/>
    <w:qFormat/>
    <w:rsid w:val="001179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8">
    <w:name w:val="Обычный1"/>
    <w:qFormat/>
    <w:rsid w:val="001179A2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6">
    <w:name w:val="Normal (Web)"/>
    <w:basedOn w:val="a0"/>
    <w:uiPriority w:val="99"/>
    <w:qFormat/>
    <w:rsid w:val="001179A2"/>
    <w:pPr>
      <w:spacing w:beforeAutospacing="1" w:afterAutospacing="1"/>
    </w:pPr>
  </w:style>
  <w:style w:type="paragraph" w:styleId="33">
    <w:name w:val="Body Text Indent 3"/>
    <w:basedOn w:val="a0"/>
    <w:qFormat/>
    <w:rsid w:val="001179A2"/>
    <w:pPr>
      <w:spacing w:after="120"/>
      <w:ind w:left="283"/>
    </w:pPr>
    <w:rPr>
      <w:sz w:val="16"/>
      <w:szCs w:val="16"/>
    </w:rPr>
  </w:style>
  <w:style w:type="paragraph" w:styleId="aff7">
    <w:name w:val="Plain Text"/>
    <w:basedOn w:val="a0"/>
    <w:qFormat/>
    <w:rsid w:val="001179A2"/>
    <w:rPr>
      <w:rFonts w:ascii="Courier New" w:hAnsi="Courier New"/>
      <w:sz w:val="20"/>
      <w:szCs w:val="20"/>
    </w:rPr>
  </w:style>
  <w:style w:type="paragraph" w:styleId="aff8">
    <w:name w:val="TOC Heading"/>
    <w:basedOn w:val="1"/>
    <w:next w:val="a0"/>
    <w:uiPriority w:val="39"/>
    <w:qFormat/>
    <w:rsid w:val="001179A2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9">
    <w:name w:val="Balloon Text"/>
    <w:basedOn w:val="a0"/>
    <w:semiHidden/>
    <w:qFormat/>
    <w:rsid w:val="001179A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179A2"/>
    <w:rPr>
      <w:rFonts w:ascii="Arial" w:eastAsia="Calibri" w:hAnsi="Arial" w:cs="Arial"/>
      <w:color w:val="000000"/>
      <w:sz w:val="24"/>
      <w:szCs w:val="24"/>
    </w:rPr>
  </w:style>
  <w:style w:type="paragraph" w:styleId="affa">
    <w:name w:val="List Paragraph"/>
    <w:basedOn w:val="a0"/>
    <w:uiPriority w:val="34"/>
    <w:qFormat/>
    <w:rsid w:val="001179A2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1179A2"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rmcnbynk">
    <w:name w:val="rmcnbynk"/>
    <w:basedOn w:val="a0"/>
    <w:qFormat/>
    <w:rsid w:val="001179A2"/>
    <w:pPr>
      <w:spacing w:beforeAutospacing="1" w:afterAutospacing="1"/>
    </w:pPr>
  </w:style>
  <w:style w:type="paragraph" w:customStyle="1" w:styleId="a">
    <w:name w:val="ТекстДок"/>
    <w:basedOn w:val="afa"/>
    <w:autoRedefine/>
    <w:qFormat/>
    <w:rsid w:val="001179A2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0"/>
    <w:qFormat/>
    <w:rsid w:val="001179A2"/>
    <w:pPr>
      <w:spacing w:beforeAutospacing="1" w:afterAutospacing="1"/>
    </w:pPr>
  </w:style>
  <w:style w:type="paragraph" w:customStyle="1" w:styleId="19">
    <w:name w:val="Абзац списка1"/>
    <w:basedOn w:val="a0"/>
    <w:uiPriority w:val="34"/>
    <w:qFormat/>
    <w:rsid w:val="001179A2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ffb">
    <w:name w:val="Revision"/>
    <w:uiPriority w:val="99"/>
    <w:semiHidden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c">
    <w:name w:val="annotation text"/>
    <w:basedOn w:val="a0"/>
    <w:semiHidden/>
    <w:unhideWhenUsed/>
    <w:qFormat/>
    <w:rsid w:val="001179A2"/>
    <w:rPr>
      <w:sz w:val="20"/>
      <w:szCs w:val="20"/>
    </w:rPr>
  </w:style>
  <w:style w:type="paragraph" w:styleId="affd">
    <w:name w:val="annotation subject"/>
    <w:basedOn w:val="affc"/>
    <w:next w:val="affc"/>
    <w:semiHidden/>
    <w:unhideWhenUsed/>
    <w:qFormat/>
    <w:rsid w:val="001179A2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1179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nformat">
    <w:name w:val="ConsPlusNonformat"/>
    <w:uiPriority w:val="99"/>
    <w:qFormat/>
    <w:rsid w:val="001179A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0"/>
    <w:qFormat/>
    <w:rsid w:val="001179A2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0"/>
    <w:qFormat/>
    <w:rsid w:val="001179A2"/>
    <w:pPr>
      <w:spacing w:beforeAutospacing="1" w:afterAutospacing="1"/>
    </w:pPr>
  </w:style>
  <w:style w:type="paragraph" w:customStyle="1" w:styleId="affe">
    <w:name w:val="Прижатый влево"/>
    <w:basedOn w:val="a0"/>
    <w:next w:val="a0"/>
    <w:uiPriority w:val="99"/>
    <w:qFormat/>
    <w:rsid w:val="001179A2"/>
    <w:rPr>
      <w:rFonts w:ascii="Arial" w:hAnsi="Arial" w:cs="Arial"/>
      <w:lang w:eastAsia="en-US"/>
    </w:rPr>
  </w:style>
  <w:style w:type="paragraph" w:customStyle="1" w:styleId="afff">
    <w:name w:val="Нормальный (таблица)"/>
    <w:basedOn w:val="a0"/>
    <w:next w:val="a0"/>
    <w:uiPriority w:val="99"/>
    <w:qFormat/>
    <w:rsid w:val="001179A2"/>
    <w:pPr>
      <w:widowControl w:val="0"/>
      <w:jc w:val="both"/>
    </w:pPr>
    <w:rPr>
      <w:rFonts w:ascii="Arial" w:eastAsiaTheme="minorEastAsia" w:hAnsi="Arial" w:cs="Arial"/>
    </w:rPr>
  </w:style>
  <w:style w:type="paragraph" w:customStyle="1" w:styleId="afff0">
    <w:name w:val="список с точками"/>
    <w:qFormat/>
    <w:rsid w:val="00381D9B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western">
    <w:name w:val="western"/>
    <w:basedOn w:val="a0"/>
    <w:qFormat/>
    <w:rsid w:val="00B902A1"/>
    <w:pPr>
      <w:suppressAutoHyphens w:val="0"/>
      <w:spacing w:beforeAutospacing="1"/>
      <w:jc w:val="both"/>
    </w:pPr>
    <w:rPr>
      <w:sz w:val="28"/>
      <w:szCs w:val="28"/>
    </w:rPr>
  </w:style>
  <w:style w:type="table" w:styleId="afff1">
    <w:name w:val="Table Grid"/>
    <w:basedOn w:val="a2"/>
    <w:uiPriority w:val="59"/>
    <w:rsid w:val="001179A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rsid w:val="001179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Hyperlink"/>
    <w:rsid w:val="00881F5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www.1fd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dvs.rsl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hyperlink" Target="http://www.sciencedirec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footer" Target="footer3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search.ebscohost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iblio-online.ru/" TargetMode="External"/><Relationship Id="rId22" Type="http://schemas.openxmlformats.org/officeDocument/2006/relationships/hyperlink" Target="http://portal.uf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27B11-FA2D-4CFC-B3EC-454D1AE8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7189</Words>
  <Characters>40981</Characters>
  <Application>Microsoft Office Word</Application>
  <DocSecurity>0</DocSecurity>
  <Lines>341</Lines>
  <Paragraphs>96</Paragraphs>
  <ScaleCrop>false</ScaleCrop>
  <Company/>
  <LinksUpToDate>false</LinksUpToDate>
  <CharactersWithSpaces>48074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Погодин Глеб Сергеевич</dc:creator>
  <dc:description/>
  <cp:lastModifiedBy>Шумилина Анна Юрьевна</cp:lastModifiedBy>
  <cp:revision>8</cp:revision>
  <cp:lastPrinted>2023-07-04T15:05:00Z</cp:lastPrinted>
  <dcterms:created xsi:type="dcterms:W3CDTF">2023-06-17T22:18:00Z</dcterms:created>
  <dcterms:modified xsi:type="dcterms:W3CDTF">2023-09-04T10:17:00Z</dcterms:modified>
  <dc:language>ru-RU</dc:language>
</cp:coreProperties>
</file>